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F1EF" w14:textId="2C846FA3" w:rsidR="00A97346" w:rsidRPr="00182754" w:rsidRDefault="00182754" w:rsidP="00A97346">
      <w:pPr>
        <w:pStyle w:val="BodyText"/>
        <w:spacing w:before="11"/>
        <w:rPr>
          <w:u w:val="single"/>
        </w:rPr>
      </w:pPr>
      <w:r w:rsidRPr="00182754">
        <w:rPr>
          <w:u w:val="single"/>
        </w:rPr>
        <w:t xml:space="preserve">1.0  </w:t>
      </w:r>
      <w:r w:rsidR="00A97346" w:rsidRPr="00182754">
        <w:rPr>
          <w:u w:val="single"/>
        </w:rPr>
        <w:t>Basis for Contract Award</w:t>
      </w:r>
      <w:r w:rsidR="00B950F9" w:rsidRPr="00182754">
        <w:rPr>
          <w:u w:val="single"/>
        </w:rPr>
        <w:t>.</w:t>
      </w:r>
    </w:p>
    <w:p w14:paraId="4970F1F0" w14:textId="393F7839" w:rsidR="00931DF2" w:rsidRPr="00182754" w:rsidRDefault="00A97346" w:rsidP="00A97346">
      <w:pPr>
        <w:pStyle w:val="BodyText"/>
        <w:spacing w:before="11"/>
      </w:pPr>
      <w:r w:rsidRPr="00182754">
        <w:t xml:space="preserve">This source selection </w:t>
      </w:r>
      <w:r w:rsidR="00BA7FA0" w:rsidRPr="00182754">
        <w:t xml:space="preserve">will </w:t>
      </w:r>
      <w:r w:rsidRPr="00182754">
        <w:t xml:space="preserve">be conducted in accordance with Federal Acquisition Regulation (FAR) </w:t>
      </w:r>
      <w:r w:rsidR="00112622" w:rsidRPr="00182754">
        <w:t xml:space="preserve">Part </w:t>
      </w:r>
      <w:r w:rsidRPr="00182754">
        <w:t xml:space="preserve">12, </w:t>
      </w:r>
      <w:r w:rsidR="00112622" w:rsidRPr="00182754">
        <w:t xml:space="preserve">Acquisition of </w:t>
      </w:r>
      <w:r w:rsidRPr="00182754">
        <w:t>Commercial Items</w:t>
      </w:r>
      <w:r w:rsidR="00444815">
        <w:t xml:space="preserve"> and FAR Part 15, Contracting by Negotiation</w:t>
      </w:r>
      <w:r w:rsidR="00112622" w:rsidRPr="00182754">
        <w:t>,</w:t>
      </w:r>
      <w:r w:rsidRPr="00182754">
        <w:t xml:space="preserve"> as supplemented by the Defense Federal Acquisition Regulation Supplement (DFARS), and the </w:t>
      </w:r>
      <w:r w:rsidR="00745460">
        <w:t xml:space="preserve">Department of the </w:t>
      </w:r>
      <w:r w:rsidRPr="00182754">
        <w:t>Air Force Federal Acquisition Regulation Supplement (</w:t>
      </w:r>
      <w:r w:rsidR="00745460">
        <w:t>D</w:t>
      </w:r>
      <w:r w:rsidRPr="00182754">
        <w:t xml:space="preserve">AFFARS). These regulations are available electronically at </w:t>
      </w:r>
      <w:r w:rsidR="00B950F9" w:rsidRPr="00182754">
        <w:t>https://www.acquisition.gov/content/regulations.</w:t>
      </w:r>
    </w:p>
    <w:p w14:paraId="4970F1F1" w14:textId="77777777" w:rsidR="00A97346" w:rsidRPr="00182754" w:rsidRDefault="00A97346">
      <w:pPr>
        <w:pStyle w:val="BodyText"/>
        <w:spacing w:before="11"/>
      </w:pPr>
    </w:p>
    <w:p w14:paraId="4970F1F2" w14:textId="01CDF766" w:rsidR="00BA7FA0" w:rsidRPr="00182754" w:rsidRDefault="00B950F9" w:rsidP="00B950F9">
      <w:pPr>
        <w:tabs>
          <w:tab w:val="left" w:pos="461"/>
        </w:tabs>
        <w:ind w:right="122"/>
        <w:rPr>
          <w:sz w:val="24"/>
          <w:szCs w:val="24"/>
        </w:rPr>
      </w:pPr>
      <w:r w:rsidRPr="00182754">
        <w:rPr>
          <w:sz w:val="24"/>
          <w:szCs w:val="24"/>
        </w:rPr>
        <w:t xml:space="preserve">This </w:t>
      </w:r>
      <w:r w:rsidR="006E346B">
        <w:rPr>
          <w:sz w:val="24"/>
          <w:szCs w:val="24"/>
        </w:rPr>
        <w:t>requirement</w:t>
      </w:r>
      <w:r w:rsidR="00182754">
        <w:rPr>
          <w:sz w:val="24"/>
          <w:szCs w:val="24"/>
        </w:rPr>
        <w:t xml:space="preserve"> is </w:t>
      </w:r>
      <w:r w:rsidR="00855E0A">
        <w:rPr>
          <w:sz w:val="24"/>
          <w:szCs w:val="24"/>
        </w:rPr>
        <w:t xml:space="preserve">a </w:t>
      </w:r>
      <w:r w:rsidRPr="00182754">
        <w:rPr>
          <w:sz w:val="24"/>
          <w:szCs w:val="24"/>
        </w:rPr>
        <w:t>competitive</w:t>
      </w:r>
      <w:r w:rsidR="00855E0A">
        <w:rPr>
          <w:sz w:val="24"/>
          <w:szCs w:val="24"/>
        </w:rPr>
        <w:t xml:space="preserve"> </w:t>
      </w:r>
      <w:r w:rsidR="00745460">
        <w:rPr>
          <w:sz w:val="24"/>
          <w:szCs w:val="24"/>
        </w:rPr>
        <w:t>full and open</w:t>
      </w:r>
      <w:r w:rsidRPr="00182754">
        <w:rPr>
          <w:sz w:val="24"/>
          <w:szCs w:val="24"/>
        </w:rPr>
        <w:t xml:space="preserve"> </w:t>
      </w:r>
      <w:r w:rsidR="006E346B">
        <w:rPr>
          <w:sz w:val="24"/>
          <w:szCs w:val="24"/>
        </w:rPr>
        <w:t>acquisition</w:t>
      </w:r>
      <w:r w:rsidRPr="00182754">
        <w:rPr>
          <w:sz w:val="24"/>
          <w:szCs w:val="24"/>
        </w:rPr>
        <w:t xml:space="preserve">. </w:t>
      </w:r>
      <w:r w:rsidR="00BA7FA0" w:rsidRPr="00182754">
        <w:rPr>
          <w:sz w:val="24"/>
          <w:szCs w:val="24"/>
        </w:rPr>
        <w:t xml:space="preserve">The Government </w:t>
      </w:r>
      <w:r w:rsidR="009D70BA" w:rsidRPr="00182754">
        <w:rPr>
          <w:sz w:val="24"/>
          <w:szCs w:val="24"/>
        </w:rPr>
        <w:t>will select</w:t>
      </w:r>
      <w:r w:rsidR="00B93048">
        <w:rPr>
          <w:sz w:val="24"/>
          <w:szCs w:val="24"/>
        </w:rPr>
        <w:t xml:space="preserve"> each and all</w:t>
      </w:r>
      <w:r w:rsidR="009D70BA" w:rsidRPr="00182754">
        <w:rPr>
          <w:sz w:val="24"/>
          <w:szCs w:val="24"/>
        </w:rPr>
        <w:t xml:space="preserve"> proposal</w:t>
      </w:r>
      <w:r w:rsidR="00BA7FA0" w:rsidRPr="00182754">
        <w:rPr>
          <w:sz w:val="24"/>
          <w:szCs w:val="24"/>
        </w:rPr>
        <w:t>s</w:t>
      </w:r>
      <w:r w:rsidR="009D70BA" w:rsidRPr="00182754">
        <w:rPr>
          <w:sz w:val="24"/>
          <w:szCs w:val="24"/>
        </w:rPr>
        <w:t xml:space="preserve"> found to be </w:t>
      </w:r>
      <w:r w:rsidR="00BA7FA0" w:rsidRPr="00182754">
        <w:rPr>
          <w:sz w:val="24"/>
          <w:szCs w:val="24"/>
        </w:rPr>
        <w:t>Technically Acceptable</w:t>
      </w:r>
      <w:r w:rsidR="009D70BA" w:rsidRPr="00182754">
        <w:rPr>
          <w:sz w:val="24"/>
          <w:szCs w:val="24"/>
        </w:rPr>
        <w:t xml:space="preserve">.  The evaluation criteria </w:t>
      </w:r>
      <w:r w:rsidR="00081021">
        <w:rPr>
          <w:sz w:val="24"/>
          <w:szCs w:val="24"/>
        </w:rPr>
        <w:t>consist of</w:t>
      </w:r>
      <w:r w:rsidR="00BA7FA0" w:rsidRPr="00182754">
        <w:rPr>
          <w:sz w:val="24"/>
          <w:szCs w:val="24"/>
        </w:rPr>
        <w:t xml:space="preserve"> one (1) factor with </w:t>
      </w:r>
      <w:r w:rsidR="00C71D47">
        <w:rPr>
          <w:sz w:val="24"/>
          <w:szCs w:val="24"/>
        </w:rPr>
        <w:t>four</w:t>
      </w:r>
      <w:r w:rsidR="00DE0BA0" w:rsidRPr="00182754">
        <w:rPr>
          <w:sz w:val="24"/>
          <w:szCs w:val="24"/>
        </w:rPr>
        <w:t xml:space="preserve"> (</w:t>
      </w:r>
      <w:r w:rsidR="006B579B">
        <w:rPr>
          <w:sz w:val="24"/>
          <w:szCs w:val="24"/>
        </w:rPr>
        <w:t>4</w:t>
      </w:r>
      <w:r w:rsidR="00DE0BA0" w:rsidRPr="00182754">
        <w:rPr>
          <w:sz w:val="24"/>
          <w:szCs w:val="24"/>
        </w:rPr>
        <w:t xml:space="preserve">) </w:t>
      </w:r>
      <w:r w:rsidR="00BA7FA0" w:rsidRPr="00182754">
        <w:rPr>
          <w:sz w:val="24"/>
          <w:szCs w:val="24"/>
        </w:rPr>
        <w:t xml:space="preserve">subfactors. FACTOR 1: Technical: SUBFACTORS: </w:t>
      </w:r>
      <w:r w:rsidR="009C7244">
        <w:rPr>
          <w:sz w:val="24"/>
          <w:szCs w:val="24"/>
        </w:rPr>
        <w:t>(1)</w:t>
      </w:r>
      <w:r w:rsidR="00BA7FA0" w:rsidRPr="00182754">
        <w:rPr>
          <w:sz w:val="24"/>
          <w:szCs w:val="24"/>
        </w:rPr>
        <w:t xml:space="preserve"> </w:t>
      </w:r>
      <w:r w:rsidR="006B579B">
        <w:rPr>
          <w:sz w:val="24"/>
          <w:szCs w:val="24"/>
        </w:rPr>
        <w:t>Scenario Responses</w:t>
      </w:r>
      <w:r w:rsidR="00BA7FA0" w:rsidRPr="00182754">
        <w:rPr>
          <w:sz w:val="24"/>
          <w:szCs w:val="24"/>
        </w:rPr>
        <w:t xml:space="preserve">, </w:t>
      </w:r>
      <w:r w:rsidR="003B1CC1">
        <w:rPr>
          <w:sz w:val="24"/>
          <w:szCs w:val="24"/>
        </w:rPr>
        <w:br/>
      </w:r>
      <w:r w:rsidR="009C7244">
        <w:rPr>
          <w:sz w:val="24"/>
          <w:szCs w:val="24"/>
        </w:rPr>
        <w:t>(2</w:t>
      </w:r>
      <w:r w:rsidR="00BA7FA0" w:rsidRPr="00182754">
        <w:rPr>
          <w:sz w:val="24"/>
          <w:szCs w:val="24"/>
        </w:rPr>
        <w:t>)</w:t>
      </w:r>
      <w:r w:rsidR="00077CA4" w:rsidRPr="00182754">
        <w:rPr>
          <w:sz w:val="24"/>
          <w:szCs w:val="24"/>
        </w:rPr>
        <w:t xml:space="preserve"> </w:t>
      </w:r>
      <w:r w:rsidR="00081021">
        <w:rPr>
          <w:sz w:val="24"/>
          <w:szCs w:val="24"/>
        </w:rPr>
        <w:t>Corporate Experience</w:t>
      </w:r>
      <w:r w:rsidR="00BA7FA0" w:rsidRPr="00182754">
        <w:rPr>
          <w:sz w:val="24"/>
          <w:szCs w:val="24"/>
        </w:rPr>
        <w:t xml:space="preserve">, </w:t>
      </w:r>
      <w:r w:rsidR="009C7244">
        <w:rPr>
          <w:sz w:val="24"/>
          <w:szCs w:val="24"/>
        </w:rPr>
        <w:t>(3</w:t>
      </w:r>
      <w:r w:rsidR="00BA7FA0" w:rsidRPr="00182754">
        <w:rPr>
          <w:sz w:val="24"/>
          <w:szCs w:val="24"/>
        </w:rPr>
        <w:t xml:space="preserve">) </w:t>
      </w:r>
      <w:r w:rsidR="00081021" w:rsidRPr="00081021">
        <w:rPr>
          <w:sz w:val="24"/>
          <w:szCs w:val="24"/>
        </w:rPr>
        <w:t>Small Business Participation Commitment Document (SBPCD)</w:t>
      </w:r>
      <w:r w:rsidR="00DE0BA0" w:rsidRPr="00182754">
        <w:rPr>
          <w:sz w:val="24"/>
          <w:szCs w:val="24"/>
        </w:rPr>
        <w:t>,</w:t>
      </w:r>
      <w:r w:rsidR="009C7244" w:rsidRPr="009C7244">
        <w:rPr>
          <w:sz w:val="24"/>
          <w:szCs w:val="24"/>
        </w:rPr>
        <w:t xml:space="preserve"> </w:t>
      </w:r>
      <w:r w:rsidR="003B1CC1">
        <w:rPr>
          <w:sz w:val="24"/>
          <w:szCs w:val="24"/>
        </w:rPr>
        <w:br/>
      </w:r>
      <w:r w:rsidR="009C7244">
        <w:rPr>
          <w:sz w:val="24"/>
          <w:szCs w:val="24"/>
        </w:rPr>
        <w:t xml:space="preserve">(4) </w:t>
      </w:r>
      <w:r w:rsidR="00081021" w:rsidRPr="00081021">
        <w:rPr>
          <w:sz w:val="24"/>
          <w:szCs w:val="24"/>
        </w:rPr>
        <w:t>Management and Capacity Plan</w:t>
      </w:r>
      <w:r w:rsidR="00855E0A">
        <w:rPr>
          <w:sz w:val="24"/>
          <w:szCs w:val="24"/>
        </w:rPr>
        <w:t>.</w:t>
      </w:r>
    </w:p>
    <w:p w14:paraId="4970F1F3" w14:textId="77777777" w:rsidR="00BA7FA0" w:rsidRPr="00182754" w:rsidRDefault="00BA7FA0" w:rsidP="00BA7FA0">
      <w:pPr>
        <w:pStyle w:val="ListParagraph"/>
        <w:tabs>
          <w:tab w:val="left" w:pos="461"/>
        </w:tabs>
        <w:ind w:right="122"/>
        <w:rPr>
          <w:sz w:val="24"/>
          <w:szCs w:val="24"/>
        </w:rPr>
      </w:pPr>
    </w:p>
    <w:p w14:paraId="4970F1F4" w14:textId="71685191" w:rsidR="00931DF2" w:rsidRPr="00182754" w:rsidRDefault="00BA7FA0" w:rsidP="00B950F9">
      <w:pPr>
        <w:pStyle w:val="ListParagraph"/>
        <w:ind w:left="0" w:right="241"/>
        <w:rPr>
          <w:sz w:val="24"/>
          <w:szCs w:val="24"/>
        </w:rPr>
      </w:pPr>
      <w:r w:rsidRPr="00182754">
        <w:rPr>
          <w:sz w:val="24"/>
          <w:szCs w:val="24"/>
        </w:rPr>
        <w:t xml:space="preserve">There are no tradeoffs for this source selection.  </w:t>
      </w:r>
      <w:r w:rsidR="0059551D">
        <w:rPr>
          <w:sz w:val="24"/>
          <w:szCs w:val="24"/>
        </w:rPr>
        <w:t>Offeror</w:t>
      </w:r>
      <w:r w:rsidR="00112622" w:rsidRPr="00182754">
        <w:rPr>
          <w:sz w:val="24"/>
          <w:szCs w:val="24"/>
        </w:rPr>
        <w:t>s</w:t>
      </w:r>
      <w:r w:rsidR="00077CA4" w:rsidRPr="00182754">
        <w:rPr>
          <w:sz w:val="24"/>
          <w:szCs w:val="24"/>
        </w:rPr>
        <w:t xml:space="preserve"> are either Technically Acceptable or U</w:t>
      </w:r>
      <w:r w:rsidRPr="00182754">
        <w:rPr>
          <w:sz w:val="24"/>
          <w:szCs w:val="24"/>
        </w:rPr>
        <w:t>nacceptable</w:t>
      </w:r>
      <w:r w:rsidR="009D70BA" w:rsidRPr="00182754">
        <w:rPr>
          <w:sz w:val="24"/>
          <w:szCs w:val="24"/>
        </w:rPr>
        <w:t xml:space="preserve"> </w:t>
      </w:r>
      <w:r w:rsidR="00260BB5" w:rsidRPr="00182754">
        <w:rPr>
          <w:sz w:val="24"/>
          <w:szCs w:val="24"/>
        </w:rPr>
        <w:t>when reaching</w:t>
      </w:r>
      <w:r w:rsidR="00066D76" w:rsidRPr="00182754">
        <w:rPr>
          <w:sz w:val="24"/>
          <w:szCs w:val="24"/>
        </w:rPr>
        <w:t xml:space="preserve"> </w:t>
      </w:r>
      <w:r w:rsidR="00077CA4" w:rsidRPr="00182754">
        <w:rPr>
          <w:sz w:val="24"/>
          <w:szCs w:val="24"/>
        </w:rPr>
        <w:t xml:space="preserve">contract award decision.  </w:t>
      </w:r>
      <w:r w:rsidR="009D70BA" w:rsidRPr="00182754">
        <w:rPr>
          <w:sz w:val="24"/>
          <w:szCs w:val="24"/>
        </w:rPr>
        <w:t>Contract</w:t>
      </w:r>
      <w:r w:rsidR="00077CA4" w:rsidRPr="00182754">
        <w:rPr>
          <w:sz w:val="24"/>
          <w:szCs w:val="24"/>
        </w:rPr>
        <w:t>(s)</w:t>
      </w:r>
      <w:r w:rsidR="009D70BA" w:rsidRPr="00182754">
        <w:rPr>
          <w:sz w:val="24"/>
          <w:szCs w:val="24"/>
        </w:rPr>
        <w:t xml:space="preserve"> </w:t>
      </w:r>
      <w:r w:rsidRPr="00182754">
        <w:rPr>
          <w:sz w:val="24"/>
          <w:szCs w:val="24"/>
        </w:rPr>
        <w:t>will</w:t>
      </w:r>
      <w:r w:rsidR="009D70BA" w:rsidRPr="00182754">
        <w:rPr>
          <w:sz w:val="24"/>
          <w:szCs w:val="24"/>
        </w:rPr>
        <w:t xml:space="preserve"> be awarded to the </w:t>
      </w:r>
      <w:r w:rsidR="0059551D">
        <w:rPr>
          <w:sz w:val="24"/>
          <w:szCs w:val="24"/>
        </w:rPr>
        <w:t>Offeror</w:t>
      </w:r>
      <w:r w:rsidR="00077CA4" w:rsidRPr="00182754">
        <w:rPr>
          <w:sz w:val="24"/>
          <w:szCs w:val="24"/>
        </w:rPr>
        <w:t>s</w:t>
      </w:r>
      <w:r w:rsidRPr="00182754">
        <w:rPr>
          <w:sz w:val="24"/>
          <w:szCs w:val="24"/>
        </w:rPr>
        <w:t xml:space="preserve"> that</w:t>
      </w:r>
      <w:r w:rsidR="009D70BA" w:rsidRPr="00182754">
        <w:rPr>
          <w:sz w:val="24"/>
          <w:szCs w:val="24"/>
        </w:rPr>
        <w:t xml:space="preserve"> </w:t>
      </w:r>
      <w:r w:rsidRPr="00182754">
        <w:rPr>
          <w:sz w:val="24"/>
          <w:szCs w:val="24"/>
        </w:rPr>
        <w:t>are</w:t>
      </w:r>
      <w:r w:rsidR="009D70BA" w:rsidRPr="00182754">
        <w:rPr>
          <w:sz w:val="24"/>
          <w:szCs w:val="24"/>
        </w:rPr>
        <w:t xml:space="preserve"> deemed </w:t>
      </w:r>
      <w:r w:rsidR="00C16A22">
        <w:rPr>
          <w:sz w:val="24"/>
          <w:szCs w:val="24"/>
        </w:rPr>
        <w:t>compliant</w:t>
      </w:r>
      <w:r w:rsidR="008C0465">
        <w:rPr>
          <w:sz w:val="24"/>
          <w:szCs w:val="24"/>
        </w:rPr>
        <w:t xml:space="preserve"> and </w:t>
      </w:r>
      <w:r w:rsidR="009D70BA" w:rsidRPr="00182754">
        <w:rPr>
          <w:sz w:val="24"/>
          <w:szCs w:val="24"/>
        </w:rPr>
        <w:t xml:space="preserve">responsible in accordance with the FAR, as supplemented, </w:t>
      </w:r>
      <w:r w:rsidR="00F363F4">
        <w:rPr>
          <w:sz w:val="24"/>
          <w:szCs w:val="24"/>
        </w:rPr>
        <w:t xml:space="preserve">and </w:t>
      </w:r>
      <w:r w:rsidR="009D70BA" w:rsidRPr="00182754">
        <w:rPr>
          <w:sz w:val="24"/>
          <w:szCs w:val="24"/>
        </w:rPr>
        <w:t xml:space="preserve">whose proposal conforms to the solicitation requirements (to include all stated terms, conditions, representations, certifications, and all other information required by Addendum to </w:t>
      </w:r>
      <w:r w:rsidR="00AF6B17">
        <w:rPr>
          <w:sz w:val="24"/>
          <w:szCs w:val="24"/>
        </w:rPr>
        <w:t xml:space="preserve">FAR </w:t>
      </w:r>
      <w:r w:rsidR="009D70BA" w:rsidRPr="00182754">
        <w:rPr>
          <w:sz w:val="24"/>
          <w:szCs w:val="24"/>
        </w:rPr>
        <w:t xml:space="preserve">52.212-1 – Instructions to </w:t>
      </w:r>
      <w:r w:rsidR="0059551D">
        <w:rPr>
          <w:sz w:val="24"/>
          <w:szCs w:val="24"/>
        </w:rPr>
        <w:t>Offeror</w:t>
      </w:r>
      <w:r w:rsidR="009D70BA" w:rsidRPr="00182754">
        <w:rPr>
          <w:sz w:val="24"/>
          <w:szCs w:val="24"/>
        </w:rPr>
        <w:t>s – Commercial Item of this solicitation and is judged, based on the evaluation factor and subfactors</w:t>
      </w:r>
      <w:r w:rsidR="00D67805">
        <w:rPr>
          <w:sz w:val="24"/>
          <w:szCs w:val="24"/>
        </w:rPr>
        <w:t>.</w:t>
      </w:r>
      <w:r w:rsidR="009D70BA" w:rsidRPr="00182754">
        <w:rPr>
          <w:sz w:val="24"/>
          <w:szCs w:val="24"/>
        </w:rPr>
        <w:t xml:space="preserve"> The Government seeks to award to the </w:t>
      </w:r>
      <w:r w:rsidR="0059551D">
        <w:rPr>
          <w:sz w:val="24"/>
          <w:szCs w:val="24"/>
        </w:rPr>
        <w:t>Offeror</w:t>
      </w:r>
      <w:r w:rsidRPr="00182754">
        <w:rPr>
          <w:sz w:val="24"/>
          <w:szCs w:val="24"/>
        </w:rPr>
        <w:t>(s)</w:t>
      </w:r>
      <w:r w:rsidR="009D70BA" w:rsidRPr="00182754">
        <w:rPr>
          <w:sz w:val="24"/>
          <w:szCs w:val="24"/>
        </w:rPr>
        <w:t xml:space="preserve"> </w:t>
      </w:r>
      <w:r w:rsidRPr="00182754">
        <w:rPr>
          <w:sz w:val="24"/>
          <w:szCs w:val="24"/>
        </w:rPr>
        <w:t>that</w:t>
      </w:r>
      <w:r w:rsidR="009D70BA" w:rsidRPr="00182754">
        <w:rPr>
          <w:sz w:val="24"/>
          <w:szCs w:val="24"/>
        </w:rPr>
        <w:t xml:space="preserve"> give</w:t>
      </w:r>
      <w:r w:rsidR="00077CA4" w:rsidRPr="00182754">
        <w:rPr>
          <w:sz w:val="24"/>
          <w:szCs w:val="24"/>
        </w:rPr>
        <w:t>(</w:t>
      </w:r>
      <w:r w:rsidR="009D70BA" w:rsidRPr="00182754">
        <w:rPr>
          <w:sz w:val="24"/>
          <w:szCs w:val="24"/>
        </w:rPr>
        <w:t>s</w:t>
      </w:r>
      <w:r w:rsidR="00077CA4" w:rsidRPr="00182754">
        <w:rPr>
          <w:sz w:val="24"/>
          <w:szCs w:val="24"/>
        </w:rPr>
        <w:t>)</w:t>
      </w:r>
      <w:r w:rsidR="009D70BA" w:rsidRPr="00182754">
        <w:rPr>
          <w:sz w:val="24"/>
          <w:szCs w:val="24"/>
        </w:rPr>
        <w:t xml:space="preserve"> the </w:t>
      </w:r>
      <w:r w:rsidR="00DE2408">
        <w:rPr>
          <w:sz w:val="24"/>
          <w:szCs w:val="24"/>
        </w:rPr>
        <w:t>government</w:t>
      </w:r>
      <w:r w:rsidR="009D70BA" w:rsidRPr="00182754">
        <w:rPr>
          <w:sz w:val="24"/>
          <w:szCs w:val="24"/>
        </w:rPr>
        <w:t xml:space="preserve"> the greatest confidence that it will meet the requirements.  T</w:t>
      </w:r>
      <w:r w:rsidR="00D67805">
        <w:rPr>
          <w:sz w:val="24"/>
          <w:szCs w:val="24"/>
        </w:rPr>
        <w:t>he Source Selection Authority (SSA)</w:t>
      </w:r>
      <w:r w:rsidR="00D67805" w:rsidRPr="00D67805">
        <w:t xml:space="preserve"> </w:t>
      </w:r>
      <w:r w:rsidR="00D67805" w:rsidRPr="00D67805">
        <w:rPr>
          <w:sz w:val="24"/>
          <w:szCs w:val="24"/>
        </w:rPr>
        <w:t>shall select the Offeror(s) whose proposal(s) are Technically Acceptable in accordance with the established criteria in this Source Selection</w:t>
      </w:r>
      <w:r w:rsidR="009D70BA" w:rsidRPr="00182754">
        <w:rPr>
          <w:sz w:val="24"/>
          <w:szCs w:val="24"/>
        </w:rPr>
        <w:t xml:space="preserve"> (described below). </w:t>
      </w:r>
      <w:r w:rsidR="00B950F9" w:rsidRPr="00182754">
        <w:rPr>
          <w:sz w:val="24"/>
          <w:szCs w:val="24"/>
        </w:rPr>
        <w:t xml:space="preserve">The Government will review the proposals for </w:t>
      </w:r>
      <w:r w:rsidR="00C16A22">
        <w:rPr>
          <w:sz w:val="24"/>
          <w:szCs w:val="24"/>
        </w:rPr>
        <w:t>compliance</w:t>
      </w:r>
      <w:r w:rsidR="00B950F9" w:rsidRPr="00182754">
        <w:rPr>
          <w:sz w:val="24"/>
          <w:szCs w:val="24"/>
        </w:rPr>
        <w:t>. If a proposal is non-</w:t>
      </w:r>
      <w:r w:rsidR="00C16A22">
        <w:rPr>
          <w:sz w:val="24"/>
          <w:szCs w:val="24"/>
        </w:rPr>
        <w:t>compliant</w:t>
      </w:r>
      <w:r w:rsidR="00B950F9" w:rsidRPr="00182754">
        <w:rPr>
          <w:sz w:val="24"/>
          <w:szCs w:val="24"/>
        </w:rPr>
        <w:t xml:space="preserve"> then it will not be further evaluated. </w:t>
      </w:r>
      <w:r w:rsidR="009D70BA" w:rsidRPr="00182754">
        <w:rPr>
          <w:sz w:val="24"/>
          <w:szCs w:val="24"/>
        </w:rPr>
        <w:t>While the Government source selection evaluation team and the SSA will strive for maximum objectivity, the source selection process, by its nature, is subjective; and therefore, professional judgment is implicit throughout the entire process.</w:t>
      </w:r>
    </w:p>
    <w:p w14:paraId="4970F1F5" w14:textId="77777777" w:rsidR="00931DF2" w:rsidRPr="00182754" w:rsidRDefault="00931DF2">
      <w:pPr>
        <w:pStyle w:val="BodyText"/>
        <w:spacing w:before="11"/>
      </w:pPr>
    </w:p>
    <w:p w14:paraId="4970F1F6" w14:textId="77777777" w:rsidR="00B950F9" w:rsidRPr="00182754" w:rsidRDefault="00182754" w:rsidP="00B950F9">
      <w:pPr>
        <w:tabs>
          <w:tab w:val="left" w:pos="461"/>
        </w:tabs>
        <w:ind w:right="122"/>
        <w:rPr>
          <w:sz w:val="24"/>
          <w:szCs w:val="24"/>
          <w:u w:val="single"/>
        </w:rPr>
      </w:pPr>
      <w:r w:rsidRPr="00182754">
        <w:rPr>
          <w:sz w:val="24"/>
          <w:szCs w:val="24"/>
          <w:u w:val="single"/>
        </w:rPr>
        <w:t xml:space="preserve">2.0  </w:t>
      </w:r>
      <w:r w:rsidR="00B950F9" w:rsidRPr="00182754">
        <w:rPr>
          <w:sz w:val="24"/>
          <w:szCs w:val="24"/>
          <w:u w:val="single"/>
        </w:rPr>
        <w:t>Number of Contracts Awarded.</w:t>
      </w:r>
    </w:p>
    <w:p w14:paraId="4970F1F7" w14:textId="5E8E1462" w:rsidR="009768C7" w:rsidRPr="009768C7" w:rsidRDefault="009D70BA" w:rsidP="009768C7">
      <w:pPr>
        <w:spacing w:line="259" w:lineRule="auto"/>
        <w:rPr>
          <w:sz w:val="24"/>
          <w:szCs w:val="24"/>
        </w:rPr>
      </w:pPr>
      <w:r w:rsidRPr="009768C7">
        <w:rPr>
          <w:sz w:val="24"/>
          <w:szCs w:val="24"/>
        </w:rPr>
        <w:t xml:space="preserve">The Government intends to </w:t>
      </w:r>
      <w:r w:rsidR="00B93048" w:rsidRPr="009768C7">
        <w:rPr>
          <w:sz w:val="24"/>
          <w:szCs w:val="24"/>
        </w:rPr>
        <w:t>award to each and all Technically Acceptable Offerors</w:t>
      </w:r>
      <w:r w:rsidR="00077CA4" w:rsidRPr="009768C7">
        <w:rPr>
          <w:sz w:val="24"/>
          <w:szCs w:val="24"/>
        </w:rPr>
        <w:t xml:space="preserve"> for </w:t>
      </w:r>
      <w:r w:rsidR="00FD2641">
        <w:rPr>
          <w:sz w:val="24"/>
          <w:szCs w:val="24"/>
        </w:rPr>
        <w:t>DAFSTS II</w:t>
      </w:r>
      <w:r w:rsidR="00077CA4" w:rsidRPr="009768C7">
        <w:rPr>
          <w:sz w:val="24"/>
          <w:szCs w:val="24"/>
        </w:rPr>
        <w:t xml:space="preserve"> with a five (5) year ordering period</w:t>
      </w:r>
      <w:r w:rsidR="00B950F9" w:rsidRPr="009768C7">
        <w:rPr>
          <w:sz w:val="24"/>
          <w:szCs w:val="24"/>
        </w:rPr>
        <w:t>,</w:t>
      </w:r>
      <w:r w:rsidRPr="009768C7">
        <w:rPr>
          <w:sz w:val="24"/>
          <w:szCs w:val="24"/>
        </w:rPr>
        <w:t xml:space="preserve"> </w:t>
      </w:r>
      <w:r w:rsidR="00B94D57" w:rsidRPr="009768C7">
        <w:rPr>
          <w:sz w:val="24"/>
          <w:szCs w:val="24"/>
        </w:rPr>
        <w:t>each wit</w:t>
      </w:r>
      <w:r w:rsidR="008F1D9B" w:rsidRPr="009768C7">
        <w:rPr>
          <w:sz w:val="24"/>
          <w:szCs w:val="24"/>
        </w:rPr>
        <w:t xml:space="preserve">h one initial task order for a </w:t>
      </w:r>
      <w:r w:rsidR="00DE17D9">
        <w:rPr>
          <w:sz w:val="24"/>
          <w:szCs w:val="24"/>
        </w:rPr>
        <w:t>post award conference</w:t>
      </w:r>
      <w:r w:rsidR="00F363F4" w:rsidRPr="009768C7">
        <w:rPr>
          <w:sz w:val="24"/>
          <w:szCs w:val="24"/>
        </w:rPr>
        <w:t>.</w:t>
      </w:r>
      <w:r w:rsidR="00B950F9" w:rsidRPr="009768C7">
        <w:rPr>
          <w:sz w:val="24"/>
          <w:szCs w:val="24"/>
        </w:rPr>
        <w:t xml:space="preserve"> </w:t>
      </w:r>
      <w:r w:rsidR="00F363F4" w:rsidRPr="009768C7">
        <w:rPr>
          <w:sz w:val="24"/>
          <w:szCs w:val="24"/>
        </w:rPr>
        <w:t>T</w:t>
      </w:r>
      <w:r w:rsidR="00B950F9" w:rsidRPr="009768C7">
        <w:rPr>
          <w:sz w:val="24"/>
          <w:szCs w:val="24"/>
        </w:rPr>
        <w:t xml:space="preserve">he Government reserves the right to make some or no awards at all. </w:t>
      </w:r>
      <w:r w:rsidR="006323AD" w:rsidRPr="009768C7">
        <w:rPr>
          <w:sz w:val="24"/>
          <w:szCs w:val="24"/>
        </w:rPr>
        <w:t xml:space="preserve"> </w:t>
      </w:r>
      <w:r w:rsidR="00EB2C12">
        <w:rPr>
          <w:sz w:val="24"/>
          <w:szCs w:val="24"/>
        </w:rPr>
        <w:t>D</w:t>
      </w:r>
      <w:r w:rsidR="009768C7" w:rsidRPr="009768C7">
        <w:rPr>
          <w:sz w:val="24"/>
          <w:szCs w:val="24"/>
        </w:rPr>
        <w:t>AFSTS</w:t>
      </w:r>
      <w:r w:rsidR="00EB2C12">
        <w:rPr>
          <w:sz w:val="24"/>
          <w:szCs w:val="24"/>
        </w:rPr>
        <w:t xml:space="preserve"> II</w:t>
      </w:r>
      <w:r w:rsidR="009768C7" w:rsidRPr="009768C7">
        <w:rPr>
          <w:sz w:val="24"/>
          <w:szCs w:val="24"/>
        </w:rPr>
        <w:t xml:space="preserve"> will consist of two (2) Tiers.  Within the multi-award IDIQ structure for </w:t>
      </w:r>
      <w:r w:rsidR="00EB2C12">
        <w:rPr>
          <w:sz w:val="24"/>
          <w:szCs w:val="24"/>
        </w:rPr>
        <w:t>D</w:t>
      </w:r>
      <w:r w:rsidR="009768C7" w:rsidRPr="009768C7">
        <w:rPr>
          <w:sz w:val="24"/>
          <w:szCs w:val="24"/>
        </w:rPr>
        <w:t>AFSTS</w:t>
      </w:r>
      <w:r w:rsidR="00EB2C12">
        <w:rPr>
          <w:sz w:val="24"/>
          <w:szCs w:val="24"/>
        </w:rPr>
        <w:t xml:space="preserve"> II</w:t>
      </w:r>
      <w:r w:rsidR="009768C7" w:rsidRPr="009768C7">
        <w:rPr>
          <w:sz w:val="24"/>
          <w:szCs w:val="24"/>
        </w:rPr>
        <w:t xml:space="preserve">, the Government intends to award to each and all Technically Acceptable vendors that submit a proposal in Tier 1 and each and all Technically Acceptable vendors that submit a proposal in Tier 2. </w:t>
      </w:r>
    </w:p>
    <w:p w14:paraId="4970F1F8" w14:textId="77777777" w:rsidR="00182754" w:rsidRPr="009768C7" w:rsidRDefault="00182754" w:rsidP="002A277C">
      <w:pPr>
        <w:pStyle w:val="ListParagraph"/>
        <w:ind w:left="0" w:right="241"/>
        <w:rPr>
          <w:sz w:val="24"/>
          <w:szCs w:val="24"/>
        </w:rPr>
      </w:pPr>
    </w:p>
    <w:p w14:paraId="4970F1FB" w14:textId="70FA7652" w:rsidR="002A277C" w:rsidRPr="00182754" w:rsidRDefault="006323AD" w:rsidP="002A277C">
      <w:pPr>
        <w:pStyle w:val="ListParagraph"/>
        <w:ind w:left="0" w:right="241"/>
        <w:rPr>
          <w:sz w:val="24"/>
          <w:szCs w:val="24"/>
        </w:rPr>
      </w:pPr>
      <w:r w:rsidRPr="00182754">
        <w:rPr>
          <w:sz w:val="24"/>
          <w:szCs w:val="24"/>
        </w:rPr>
        <w:t>T</w:t>
      </w:r>
      <w:r w:rsidR="002A277C" w:rsidRPr="00182754">
        <w:rPr>
          <w:sz w:val="24"/>
          <w:szCs w:val="24"/>
        </w:rPr>
        <w:t xml:space="preserve">ask orders issued from the awarded IDIQs </w:t>
      </w:r>
      <w:r w:rsidR="00EB2C12">
        <w:rPr>
          <w:sz w:val="24"/>
          <w:szCs w:val="24"/>
        </w:rPr>
        <w:t>will</w:t>
      </w:r>
      <w:r w:rsidR="002A277C" w:rsidRPr="00182754">
        <w:rPr>
          <w:sz w:val="24"/>
          <w:szCs w:val="24"/>
        </w:rPr>
        <w:t xml:space="preserve"> be Firm Fixed Price (FFP)</w:t>
      </w:r>
    </w:p>
    <w:p w14:paraId="4970F1FC" w14:textId="77777777" w:rsidR="00B950F9" w:rsidRDefault="002A277C" w:rsidP="00B950F9">
      <w:pPr>
        <w:pStyle w:val="ListParagraph"/>
        <w:ind w:left="0" w:right="241"/>
        <w:rPr>
          <w:sz w:val="24"/>
          <w:szCs w:val="24"/>
        </w:rPr>
      </w:pPr>
      <w:r w:rsidRPr="0093193E">
        <w:rPr>
          <w:sz w:val="24"/>
          <w:szCs w:val="24"/>
          <w:highlight w:val="magenta"/>
        </w:rPr>
        <w:t>**For Tier Criteria/Definitions see Attachment 1</w:t>
      </w:r>
      <w:r w:rsidR="00D433A2" w:rsidRPr="0093193E">
        <w:rPr>
          <w:sz w:val="24"/>
          <w:szCs w:val="24"/>
          <w:highlight w:val="magenta"/>
        </w:rPr>
        <w:t>, paragraph 2.1.3</w:t>
      </w:r>
      <w:r w:rsidRPr="0093193E">
        <w:rPr>
          <w:sz w:val="24"/>
          <w:szCs w:val="24"/>
          <w:highlight w:val="magenta"/>
        </w:rPr>
        <w:t>**</w:t>
      </w:r>
    </w:p>
    <w:p w14:paraId="4970F1FD" w14:textId="77777777" w:rsidR="006E346B" w:rsidRPr="00182754" w:rsidRDefault="006E346B" w:rsidP="00B950F9">
      <w:pPr>
        <w:pStyle w:val="ListParagraph"/>
        <w:ind w:left="0" w:right="241"/>
        <w:rPr>
          <w:sz w:val="24"/>
          <w:szCs w:val="24"/>
        </w:rPr>
      </w:pPr>
    </w:p>
    <w:p w14:paraId="4970F1FE" w14:textId="27DD8B6D" w:rsidR="00C12622" w:rsidRDefault="00855E0A" w:rsidP="00C12622">
      <w:pPr>
        <w:rPr>
          <w:sz w:val="24"/>
          <w:szCs w:val="24"/>
          <w:u w:val="single"/>
        </w:rPr>
      </w:pPr>
      <w:r>
        <w:rPr>
          <w:sz w:val="24"/>
          <w:szCs w:val="24"/>
          <w:u w:val="single"/>
        </w:rPr>
        <w:t>3.0  Evaluation Steps</w:t>
      </w:r>
    </w:p>
    <w:p w14:paraId="4970F1FF" w14:textId="6F17E8E0" w:rsidR="00E254B8" w:rsidRPr="00C12622" w:rsidRDefault="009768C7" w:rsidP="00C12622">
      <w:pPr>
        <w:rPr>
          <w:sz w:val="24"/>
          <w:szCs w:val="24"/>
          <w:u w:val="single"/>
        </w:rPr>
      </w:pPr>
      <w:r w:rsidRPr="009768C7">
        <w:rPr>
          <w:sz w:val="24"/>
        </w:rPr>
        <w:t>Step 1 – Minimum “</w:t>
      </w:r>
      <w:r w:rsidR="00DE17D9">
        <w:rPr>
          <w:sz w:val="24"/>
        </w:rPr>
        <w:t>Compliant</w:t>
      </w:r>
      <w:r w:rsidRPr="009768C7">
        <w:rPr>
          <w:sz w:val="24"/>
        </w:rPr>
        <w:t>/</w:t>
      </w:r>
      <w:r w:rsidR="00DE17D9">
        <w:rPr>
          <w:sz w:val="24"/>
        </w:rPr>
        <w:t>Noncompliant</w:t>
      </w:r>
      <w:r w:rsidRPr="009768C7">
        <w:rPr>
          <w:sz w:val="24"/>
        </w:rPr>
        <w:t>” Gate: Tier Declaration, Facility Clearance Validation, and Small Business Subcontracting Plan compliance review.</w:t>
      </w:r>
      <w:r w:rsidRPr="009768C7">
        <w:rPr>
          <w:sz w:val="24"/>
          <w:szCs w:val="24"/>
        </w:rPr>
        <w:t xml:space="preserve"> </w:t>
      </w:r>
      <w:r w:rsidR="009D70BA" w:rsidRPr="009768C7">
        <w:rPr>
          <w:sz w:val="24"/>
          <w:szCs w:val="24"/>
        </w:rPr>
        <w:t xml:space="preserve">The </w:t>
      </w:r>
      <w:r w:rsidR="00855E0A">
        <w:rPr>
          <w:sz w:val="24"/>
          <w:szCs w:val="24"/>
        </w:rPr>
        <w:t>Contracting Officer (</w:t>
      </w:r>
      <w:r w:rsidR="009D70BA" w:rsidRPr="009768C7">
        <w:rPr>
          <w:sz w:val="24"/>
          <w:szCs w:val="24"/>
        </w:rPr>
        <w:t>CO</w:t>
      </w:r>
      <w:r w:rsidR="00855E0A">
        <w:rPr>
          <w:sz w:val="24"/>
          <w:szCs w:val="24"/>
        </w:rPr>
        <w:t>)</w:t>
      </w:r>
      <w:r w:rsidR="009D70BA" w:rsidRPr="00182754">
        <w:rPr>
          <w:sz w:val="24"/>
          <w:szCs w:val="24"/>
        </w:rPr>
        <w:t xml:space="preserve"> will </w:t>
      </w:r>
      <w:r w:rsidR="00B94D57" w:rsidRPr="00182754">
        <w:rPr>
          <w:sz w:val="24"/>
          <w:szCs w:val="24"/>
        </w:rPr>
        <w:t>validate</w:t>
      </w:r>
      <w:r w:rsidR="009D70BA" w:rsidRPr="00182754">
        <w:rPr>
          <w:sz w:val="24"/>
          <w:szCs w:val="24"/>
        </w:rPr>
        <w:t xml:space="preserve"> </w:t>
      </w:r>
      <w:r w:rsidR="00B94D57" w:rsidRPr="00182754">
        <w:rPr>
          <w:sz w:val="24"/>
          <w:szCs w:val="24"/>
        </w:rPr>
        <w:t xml:space="preserve">each </w:t>
      </w:r>
      <w:r w:rsidR="00C57395">
        <w:rPr>
          <w:sz w:val="24"/>
          <w:szCs w:val="24"/>
        </w:rPr>
        <w:t>P</w:t>
      </w:r>
      <w:r w:rsidR="00B94D57" w:rsidRPr="00182754">
        <w:rPr>
          <w:sz w:val="24"/>
          <w:szCs w:val="24"/>
        </w:rPr>
        <w:t xml:space="preserve">rime </w:t>
      </w:r>
      <w:r w:rsidR="0059551D">
        <w:rPr>
          <w:sz w:val="24"/>
          <w:szCs w:val="24"/>
        </w:rPr>
        <w:t>Offeror</w:t>
      </w:r>
      <w:r w:rsidR="00B94D57" w:rsidRPr="00182754">
        <w:rPr>
          <w:sz w:val="24"/>
          <w:szCs w:val="24"/>
        </w:rPr>
        <w:t xml:space="preserve">s </w:t>
      </w:r>
      <w:r w:rsidR="00855E0A">
        <w:rPr>
          <w:sz w:val="24"/>
          <w:szCs w:val="24"/>
        </w:rPr>
        <w:t>Facility Clearance (</w:t>
      </w:r>
      <w:r w:rsidR="00B94D57" w:rsidRPr="00182754">
        <w:rPr>
          <w:sz w:val="24"/>
          <w:szCs w:val="24"/>
        </w:rPr>
        <w:t>FCL</w:t>
      </w:r>
      <w:r w:rsidR="00855E0A">
        <w:rPr>
          <w:sz w:val="24"/>
          <w:szCs w:val="24"/>
        </w:rPr>
        <w:t>)</w:t>
      </w:r>
      <w:r w:rsidR="00B94D57" w:rsidRPr="00182754">
        <w:rPr>
          <w:sz w:val="24"/>
          <w:szCs w:val="24"/>
        </w:rPr>
        <w:t xml:space="preserve"> via the </w:t>
      </w:r>
      <w:r w:rsidR="00DE17D9" w:rsidRPr="00DE17D9">
        <w:rPr>
          <w:sz w:val="24"/>
          <w:szCs w:val="24"/>
        </w:rPr>
        <w:t>Defense Information Security System (DISS)</w:t>
      </w:r>
      <w:r w:rsidR="00B94D57" w:rsidRPr="00182754">
        <w:rPr>
          <w:sz w:val="24"/>
          <w:szCs w:val="24"/>
        </w:rPr>
        <w:t xml:space="preserve"> and accept each </w:t>
      </w:r>
      <w:r w:rsidR="0059551D">
        <w:rPr>
          <w:sz w:val="24"/>
          <w:szCs w:val="24"/>
        </w:rPr>
        <w:t>Offeror</w:t>
      </w:r>
      <w:r w:rsidR="00B94D57" w:rsidRPr="00182754">
        <w:rPr>
          <w:sz w:val="24"/>
          <w:szCs w:val="24"/>
        </w:rPr>
        <w:t xml:space="preserve">s declared Tier via email submission. </w:t>
      </w:r>
      <w:r w:rsidR="00C004A2">
        <w:rPr>
          <w:sz w:val="24"/>
          <w:szCs w:val="24"/>
        </w:rPr>
        <w:t xml:space="preserve">The CO will </w:t>
      </w:r>
      <w:r w:rsidR="00C004A2">
        <w:rPr>
          <w:sz w:val="24"/>
          <w:szCs w:val="24"/>
        </w:rPr>
        <w:lastRenderedPageBreak/>
        <w:t xml:space="preserve">also review </w:t>
      </w:r>
      <w:r w:rsidR="00811675">
        <w:rPr>
          <w:sz w:val="24"/>
          <w:szCs w:val="24"/>
        </w:rPr>
        <w:t xml:space="preserve">applicable Offerors Small Business Subcontracting plan for compliance with FAR Clause 52.219-9, Small Business Subcontracting Plan.  </w:t>
      </w:r>
      <w:r w:rsidR="0059551D">
        <w:rPr>
          <w:sz w:val="24"/>
          <w:szCs w:val="24"/>
        </w:rPr>
        <w:t>Offeror</w:t>
      </w:r>
      <w:r w:rsidR="00D433A2" w:rsidRPr="00D433A2">
        <w:rPr>
          <w:sz w:val="24"/>
          <w:szCs w:val="24"/>
        </w:rPr>
        <w:t>s will be notified via email if its FCL is validated</w:t>
      </w:r>
      <w:r w:rsidR="00811675">
        <w:rPr>
          <w:sz w:val="24"/>
          <w:szCs w:val="24"/>
        </w:rPr>
        <w:t xml:space="preserve"> and if the Small Business Subcontracting Plan is in compliance with FAR Clause 52.219-9</w:t>
      </w:r>
      <w:r w:rsidR="003B5B54">
        <w:rPr>
          <w:sz w:val="24"/>
          <w:szCs w:val="24"/>
        </w:rPr>
        <w:t xml:space="preserve"> and will move to Step 2.  </w:t>
      </w:r>
      <w:r w:rsidR="00D433A2" w:rsidRPr="00D433A2">
        <w:rPr>
          <w:sz w:val="24"/>
          <w:szCs w:val="24"/>
        </w:rPr>
        <w:t xml:space="preserve">If the </w:t>
      </w:r>
      <w:r w:rsidR="0059551D">
        <w:rPr>
          <w:sz w:val="24"/>
          <w:szCs w:val="24"/>
        </w:rPr>
        <w:t>Offeror</w:t>
      </w:r>
      <w:r w:rsidR="00D433A2" w:rsidRPr="00D433A2">
        <w:rPr>
          <w:sz w:val="24"/>
          <w:szCs w:val="24"/>
        </w:rPr>
        <w:t xml:space="preserve"> does not meet the FCL criteria</w:t>
      </w:r>
      <w:r w:rsidR="00811675">
        <w:rPr>
          <w:sz w:val="24"/>
          <w:szCs w:val="24"/>
        </w:rPr>
        <w:t xml:space="preserve"> and/or is not in compliance with FAR Clause 52.219-9</w:t>
      </w:r>
      <w:r w:rsidR="00D433A2" w:rsidRPr="00D433A2">
        <w:rPr>
          <w:sz w:val="24"/>
          <w:szCs w:val="24"/>
        </w:rPr>
        <w:t xml:space="preserve">, the </w:t>
      </w:r>
      <w:r w:rsidR="0059551D">
        <w:rPr>
          <w:sz w:val="24"/>
          <w:szCs w:val="24"/>
        </w:rPr>
        <w:t>Offeror</w:t>
      </w:r>
      <w:r w:rsidR="00DE17D9">
        <w:rPr>
          <w:sz w:val="24"/>
          <w:szCs w:val="24"/>
        </w:rPr>
        <w:t xml:space="preserve"> will be deemed “non</w:t>
      </w:r>
      <w:r w:rsidR="00C16A22">
        <w:rPr>
          <w:sz w:val="24"/>
          <w:szCs w:val="24"/>
        </w:rPr>
        <w:t>compliant</w:t>
      </w:r>
      <w:r>
        <w:rPr>
          <w:sz w:val="24"/>
          <w:szCs w:val="24"/>
        </w:rPr>
        <w:t xml:space="preserve">” and eliminated from consideration for award. </w:t>
      </w:r>
      <w:r w:rsidR="00720799">
        <w:rPr>
          <w:sz w:val="24"/>
          <w:szCs w:val="24"/>
        </w:rPr>
        <w:t>Th</w:t>
      </w:r>
      <w:r w:rsidR="00D433A2" w:rsidRPr="00D433A2">
        <w:rPr>
          <w:sz w:val="24"/>
          <w:szCs w:val="24"/>
        </w:rPr>
        <w:t xml:space="preserve">e </w:t>
      </w:r>
      <w:r w:rsidR="0059551D">
        <w:rPr>
          <w:sz w:val="24"/>
          <w:szCs w:val="24"/>
        </w:rPr>
        <w:t>Offeror</w:t>
      </w:r>
      <w:r w:rsidR="00D433A2" w:rsidRPr="00D433A2">
        <w:rPr>
          <w:sz w:val="24"/>
          <w:szCs w:val="24"/>
        </w:rPr>
        <w:t xml:space="preserve"> will </w:t>
      </w:r>
      <w:r w:rsidR="00720799">
        <w:rPr>
          <w:sz w:val="24"/>
          <w:szCs w:val="24"/>
        </w:rPr>
        <w:t xml:space="preserve">receive written notice IAW FAR 15.503. </w:t>
      </w:r>
    </w:p>
    <w:p w14:paraId="4970F200" w14:textId="77777777" w:rsidR="00931DF2" w:rsidRPr="00182754" w:rsidRDefault="00931DF2">
      <w:pPr>
        <w:pStyle w:val="BodyText"/>
      </w:pPr>
    </w:p>
    <w:p w14:paraId="24FD4D6E" w14:textId="6CC1F928" w:rsidR="00771EE9" w:rsidRDefault="006A2A46" w:rsidP="006323AD">
      <w:pPr>
        <w:tabs>
          <w:tab w:val="left" w:pos="461"/>
        </w:tabs>
        <w:ind w:right="285"/>
        <w:rPr>
          <w:sz w:val="24"/>
        </w:rPr>
      </w:pPr>
      <w:r>
        <w:rPr>
          <w:sz w:val="24"/>
        </w:rPr>
        <w:t xml:space="preserve">3. </w:t>
      </w:r>
      <w:r w:rsidR="00C90DAC" w:rsidRPr="009768C7">
        <w:rPr>
          <w:sz w:val="24"/>
        </w:rPr>
        <w:t xml:space="preserve">Step </w:t>
      </w:r>
      <w:r w:rsidR="00C90DAC">
        <w:rPr>
          <w:sz w:val="24"/>
        </w:rPr>
        <w:t>2</w:t>
      </w:r>
      <w:r w:rsidR="00C90DAC" w:rsidRPr="009768C7">
        <w:rPr>
          <w:sz w:val="24"/>
        </w:rPr>
        <w:t xml:space="preserve"> – Minimum “</w:t>
      </w:r>
      <w:r w:rsidR="00C90DAC">
        <w:rPr>
          <w:sz w:val="24"/>
        </w:rPr>
        <w:t>Compliant</w:t>
      </w:r>
      <w:r w:rsidR="00C90DAC" w:rsidRPr="009768C7">
        <w:rPr>
          <w:sz w:val="24"/>
        </w:rPr>
        <w:t>/</w:t>
      </w:r>
      <w:r w:rsidR="00C90DAC">
        <w:rPr>
          <w:sz w:val="24"/>
        </w:rPr>
        <w:t>Noncompliant</w:t>
      </w:r>
      <w:r w:rsidR="00C90DAC" w:rsidRPr="009768C7">
        <w:rPr>
          <w:sz w:val="24"/>
        </w:rPr>
        <w:t xml:space="preserve">” Gate: </w:t>
      </w:r>
      <w:r w:rsidR="00C90DAC">
        <w:rPr>
          <w:sz w:val="24"/>
        </w:rPr>
        <w:t xml:space="preserve">Corporate Experience </w:t>
      </w:r>
      <w:r w:rsidR="00935CA4">
        <w:rPr>
          <w:sz w:val="24"/>
        </w:rPr>
        <w:t xml:space="preserve">Compliance Review </w:t>
      </w:r>
      <w:r w:rsidR="00C90DAC">
        <w:rPr>
          <w:sz w:val="24"/>
        </w:rPr>
        <w:t xml:space="preserve">(Tier specific </w:t>
      </w:r>
      <w:r>
        <w:rPr>
          <w:sz w:val="24"/>
        </w:rPr>
        <w:t>)</w:t>
      </w:r>
    </w:p>
    <w:p w14:paraId="6BCC7FE3" w14:textId="252E6F55" w:rsidR="00421175" w:rsidRDefault="00421175" w:rsidP="006323AD">
      <w:pPr>
        <w:tabs>
          <w:tab w:val="left" w:pos="461"/>
        </w:tabs>
        <w:ind w:right="285"/>
        <w:rPr>
          <w:color w:val="FF0000"/>
          <w:sz w:val="24"/>
          <w:szCs w:val="24"/>
          <w:u w:val="single"/>
        </w:rPr>
      </w:pPr>
    </w:p>
    <w:p w14:paraId="6A061D90" w14:textId="093A9F79" w:rsidR="0080191D" w:rsidRPr="0080191D" w:rsidRDefault="00421175" w:rsidP="0080191D">
      <w:pPr>
        <w:rPr>
          <w:color w:val="FF0000"/>
          <w:sz w:val="24"/>
          <w:szCs w:val="24"/>
          <w:u w:val="single"/>
        </w:rPr>
      </w:pPr>
      <w:r>
        <w:rPr>
          <w:color w:val="FF0000"/>
          <w:sz w:val="24"/>
          <w:szCs w:val="24"/>
          <w:u w:val="single"/>
        </w:rPr>
        <w:t xml:space="preserve">The government will review the submitted corporate </w:t>
      </w:r>
      <w:r w:rsidR="00B21CB5">
        <w:rPr>
          <w:color w:val="FF0000"/>
          <w:sz w:val="24"/>
          <w:szCs w:val="24"/>
          <w:u w:val="single"/>
        </w:rPr>
        <w:t>experience</w:t>
      </w:r>
      <w:r>
        <w:rPr>
          <w:color w:val="FF0000"/>
          <w:sz w:val="24"/>
          <w:szCs w:val="24"/>
          <w:u w:val="single"/>
        </w:rPr>
        <w:t xml:space="preserve"> for compliance with the minimum </w:t>
      </w:r>
      <w:r w:rsidR="00C31AD5">
        <w:rPr>
          <w:color w:val="FF0000"/>
          <w:sz w:val="24"/>
          <w:szCs w:val="24"/>
          <w:u w:val="single"/>
        </w:rPr>
        <w:t>requirements detailed in Attachment 1, Instructions to Offerors</w:t>
      </w:r>
      <w:r w:rsidR="0054527D">
        <w:rPr>
          <w:color w:val="FF0000"/>
          <w:sz w:val="24"/>
          <w:szCs w:val="24"/>
          <w:u w:val="single"/>
        </w:rPr>
        <w:t xml:space="preserve">: </w:t>
      </w:r>
      <w:r w:rsidR="00C07A91">
        <w:rPr>
          <w:color w:val="FF0000"/>
          <w:sz w:val="24"/>
          <w:szCs w:val="24"/>
          <w:u w:val="single"/>
        </w:rPr>
        <w:t xml:space="preserve">If the entire corporate experience submission is compliant, </w:t>
      </w:r>
      <w:r w:rsidR="00ED27A8">
        <w:rPr>
          <w:color w:val="FF0000"/>
          <w:sz w:val="24"/>
          <w:szCs w:val="24"/>
          <w:u w:val="single"/>
        </w:rPr>
        <w:t xml:space="preserve">the Offeror will be deemed compliant, </w:t>
      </w:r>
      <w:r w:rsidR="00C07A91">
        <w:rPr>
          <w:color w:val="FF0000"/>
          <w:sz w:val="24"/>
          <w:szCs w:val="24"/>
          <w:u w:val="single"/>
        </w:rPr>
        <w:t xml:space="preserve">the </w:t>
      </w:r>
      <w:r w:rsidR="0054527D">
        <w:rPr>
          <w:color w:val="FF0000"/>
          <w:sz w:val="24"/>
          <w:szCs w:val="24"/>
          <w:u w:val="single"/>
        </w:rPr>
        <w:t>Offer</w:t>
      </w:r>
      <w:r w:rsidR="00BC03A5">
        <w:rPr>
          <w:color w:val="FF0000"/>
          <w:sz w:val="24"/>
          <w:szCs w:val="24"/>
          <w:u w:val="single"/>
        </w:rPr>
        <w:t>or</w:t>
      </w:r>
      <w:r w:rsidR="0054527D">
        <w:rPr>
          <w:color w:val="FF0000"/>
          <w:sz w:val="24"/>
          <w:szCs w:val="24"/>
          <w:u w:val="single"/>
        </w:rPr>
        <w:t xml:space="preserve"> will be notified via email </w:t>
      </w:r>
      <w:r w:rsidR="00BC03A5">
        <w:rPr>
          <w:color w:val="FF0000"/>
          <w:sz w:val="24"/>
          <w:szCs w:val="24"/>
          <w:u w:val="single"/>
        </w:rPr>
        <w:t>and move to Step 3.  If any portion of t</w:t>
      </w:r>
      <w:r w:rsidR="0080191D">
        <w:rPr>
          <w:color w:val="FF0000"/>
          <w:sz w:val="24"/>
          <w:szCs w:val="24"/>
          <w:u w:val="single"/>
        </w:rPr>
        <w:t>h</w:t>
      </w:r>
      <w:r w:rsidR="00BC03A5">
        <w:rPr>
          <w:color w:val="FF0000"/>
          <w:sz w:val="24"/>
          <w:szCs w:val="24"/>
          <w:u w:val="single"/>
        </w:rPr>
        <w:t xml:space="preserve">e corporate </w:t>
      </w:r>
      <w:r w:rsidR="0080191D">
        <w:rPr>
          <w:color w:val="FF0000"/>
          <w:sz w:val="24"/>
          <w:szCs w:val="24"/>
          <w:u w:val="single"/>
        </w:rPr>
        <w:t>experience</w:t>
      </w:r>
      <w:r w:rsidR="00BC03A5">
        <w:rPr>
          <w:color w:val="FF0000"/>
          <w:sz w:val="24"/>
          <w:szCs w:val="24"/>
          <w:u w:val="single"/>
        </w:rPr>
        <w:t xml:space="preserve"> is deemed noncompliant, t</w:t>
      </w:r>
      <w:r w:rsidR="0080191D">
        <w:rPr>
          <w:color w:val="FF0000"/>
          <w:sz w:val="24"/>
          <w:szCs w:val="24"/>
          <w:u w:val="single"/>
        </w:rPr>
        <w:t>he Offe</w:t>
      </w:r>
      <w:r w:rsidR="00ED27A8">
        <w:rPr>
          <w:color w:val="FF0000"/>
          <w:sz w:val="24"/>
          <w:szCs w:val="24"/>
          <w:u w:val="single"/>
        </w:rPr>
        <w:t>r</w:t>
      </w:r>
      <w:r w:rsidR="0080191D">
        <w:rPr>
          <w:color w:val="FF0000"/>
          <w:sz w:val="24"/>
          <w:szCs w:val="24"/>
          <w:u w:val="single"/>
        </w:rPr>
        <w:t xml:space="preserve">or will be deemed </w:t>
      </w:r>
      <w:r w:rsidR="00B3365F">
        <w:rPr>
          <w:color w:val="FF0000"/>
          <w:sz w:val="24"/>
          <w:szCs w:val="24"/>
          <w:u w:val="single"/>
        </w:rPr>
        <w:t xml:space="preserve">noncompliant, the Offeror will be notified via email </w:t>
      </w:r>
      <w:r w:rsidR="0080191D">
        <w:rPr>
          <w:color w:val="FF0000"/>
          <w:sz w:val="24"/>
          <w:szCs w:val="24"/>
          <w:u w:val="single"/>
        </w:rPr>
        <w:t xml:space="preserve">and </w:t>
      </w:r>
      <w:r w:rsidR="00ED27A8">
        <w:rPr>
          <w:color w:val="FF0000"/>
          <w:sz w:val="24"/>
          <w:szCs w:val="24"/>
          <w:u w:val="single"/>
        </w:rPr>
        <w:t>eliminated</w:t>
      </w:r>
      <w:r w:rsidR="0080191D">
        <w:rPr>
          <w:color w:val="FF0000"/>
          <w:sz w:val="24"/>
          <w:szCs w:val="24"/>
          <w:u w:val="single"/>
        </w:rPr>
        <w:t xml:space="preserve"> for consideration for award</w:t>
      </w:r>
      <w:r w:rsidR="00B3365F">
        <w:rPr>
          <w:color w:val="FF0000"/>
          <w:sz w:val="24"/>
          <w:szCs w:val="24"/>
          <w:u w:val="single"/>
        </w:rPr>
        <w:t xml:space="preserve"> and will not move to Step 3. </w:t>
      </w:r>
      <w:r w:rsidR="0080191D" w:rsidRPr="0080191D">
        <w:rPr>
          <w:color w:val="FF0000"/>
          <w:sz w:val="24"/>
          <w:szCs w:val="24"/>
        </w:rPr>
        <w:t xml:space="preserve">The Offeror will receive written notice IAW FAR 15.503. </w:t>
      </w:r>
    </w:p>
    <w:p w14:paraId="050CC3FA" w14:textId="07A90E29" w:rsidR="00421175" w:rsidRDefault="00421175" w:rsidP="006323AD">
      <w:pPr>
        <w:tabs>
          <w:tab w:val="left" w:pos="461"/>
        </w:tabs>
        <w:ind w:right="285"/>
        <w:rPr>
          <w:color w:val="FF0000"/>
          <w:sz w:val="24"/>
          <w:szCs w:val="24"/>
          <w:u w:val="single"/>
        </w:rPr>
      </w:pPr>
    </w:p>
    <w:p w14:paraId="6023B724" w14:textId="77777777" w:rsidR="00512742" w:rsidRPr="00831723" w:rsidRDefault="00512742" w:rsidP="00512742">
      <w:pPr>
        <w:pStyle w:val="BodyText"/>
        <w:ind w:left="100" w:right="309"/>
        <w:jc w:val="both"/>
        <w:rPr>
          <w:color w:val="FF0000"/>
        </w:rPr>
      </w:pPr>
      <w:r w:rsidRPr="00831723">
        <w:rPr>
          <w:color w:val="FF0000"/>
        </w:rPr>
        <w:t xml:space="preserve">**Each Tier has different corporate experience requirements. See Attachment 1, paragraph 2.1.3** </w:t>
      </w:r>
    </w:p>
    <w:p w14:paraId="5535C35B" w14:textId="77777777" w:rsidR="00512742" w:rsidRPr="00831723" w:rsidRDefault="00512742" w:rsidP="00512742">
      <w:pPr>
        <w:pStyle w:val="Heading1"/>
        <w:spacing w:line="274" w:lineRule="exact"/>
        <w:ind w:left="0" w:firstLine="0"/>
        <w:jc w:val="both"/>
        <w:rPr>
          <w:color w:val="FF0000"/>
        </w:rPr>
      </w:pPr>
    </w:p>
    <w:p w14:paraId="7B43239B" w14:textId="5E815ABD" w:rsidR="00512742" w:rsidRPr="00831723" w:rsidRDefault="00893C45" w:rsidP="00512742">
      <w:pPr>
        <w:pStyle w:val="BodyText"/>
        <w:ind w:right="309"/>
        <w:jc w:val="both"/>
        <w:rPr>
          <w:color w:val="FF0000"/>
        </w:rPr>
      </w:pPr>
      <w:r>
        <w:rPr>
          <w:color w:val="FF0000"/>
        </w:rPr>
        <w:t>Step 3</w:t>
      </w:r>
      <w:r w:rsidR="00F80E79">
        <w:rPr>
          <w:color w:val="FF0000"/>
        </w:rPr>
        <w:t xml:space="preserve"> – Evalu</w:t>
      </w:r>
      <w:r w:rsidR="00E12C56">
        <w:rPr>
          <w:color w:val="FF0000"/>
        </w:rPr>
        <w:t xml:space="preserve">ate Technical </w:t>
      </w:r>
      <w:r w:rsidR="0091681F">
        <w:rPr>
          <w:color w:val="FF0000"/>
        </w:rPr>
        <w:t>Subfactors 1-3</w:t>
      </w:r>
      <w:r w:rsidR="00CC20B0">
        <w:rPr>
          <w:color w:val="FF0000"/>
        </w:rPr>
        <w:t>, Volumes I and II</w:t>
      </w:r>
    </w:p>
    <w:p w14:paraId="4DE14F04" w14:textId="468FF0EC" w:rsidR="00771EE9" w:rsidRPr="00771EE9" w:rsidRDefault="00771EE9" w:rsidP="006323AD">
      <w:pPr>
        <w:tabs>
          <w:tab w:val="left" w:pos="461"/>
        </w:tabs>
        <w:ind w:right="285"/>
        <w:rPr>
          <w:color w:val="FF0000"/>
          <w:sz w:val="24"/>
          <w:szCs w:val="24"/>
          <w:u w:val="single"/>
        </w:rPr>
      </w:pPr>
    </w:p>
    <w:p w14:paraId="4970F202" w14:textId="77777777" w:rsidR="00931DF2" w:rsidRPr="00182754" w:rsidRDefault="00931DF2">
      <w:pPr>
        <w:pStyle w:val="BodyText"/>
        <w:spacing w:before="5"/>
      </w:pPr>
    </w:p>
    <w:p w14:paraId="4970F203" w14:textId="736A0EF2" w:rsidR="006323AD" w:rsidRPr="00182754" w:rsidRDefault="00CC20B0" w:rsidP="006323AD">
      <w:pPr>
        <w:pStyle w:val="BodyText"/>
        <w:spacing w:before="4"/>
        <w:jc w:val="both"/>
        <w:rPr>
          <w:u w:val="single"/>
        </w:rPr>
      </w:pPr>
      <w:r w:rsidRPr="00CC20B0">
        <w:rPr>
          <w:color w:val="FF0000"/>
          <w:u w:val="single"/>
        </w:rPr>
        <w:t>4</w:t>
      </w:r>
      <w:r w:rsidR="00182754" w:rsidRPr="00CC20B0">
        <w:rPr>
          <w:color w:val="FF0000"/>
          <w:u w:val="single"/>
        </w:rPr>
        <w:t xml:space="preserve">.0.  </w:t>
      </w:r>
      <w:r w:rsidR="00DE0BA0" w:rsidRPr="00CC20B0">
        <w:rPr>
          <w:color w:val="FF0000"/>
          <w:u w:val="single"/>
        </w:rPr>
        <w:t xml:space="preserve">Technical </w:t>
      </w:r>
      <w:r w:rsidR="00DE0BA0" w:rsidRPr="00182754">
        <w:rPr>
          <w:u w:val="single"/>
        </w:rPr>
        <w:t>Evaluation</w:t>
      </w:r>
      <w:r w:rsidR="006323AD" w:rsidRPr="00182754">
        <w:rPr>
          <w:u w:val="single"/>
        </w:rPr>
        <w:t xml:space="preserve"> </w:t>
      </w:r>
    </w:p>
    <w:p w14:paraId="4970F204" w14:textId="77777777" w:rsidR="00931DF2" w:rsidRPr="00182754" w:rsidRDefault="00C348C4" w:rsidP="00C348C4">
      <w:pPr>
        <w:tabs>
          <w:tab w:val="left" w:pos="456"/>
        </w:tabs>
        <w:ind w:right="116"/>
        <w:jc w:val="both"/>
        <w:rPr>
          <w:sz w:val="24"/>
          <w:szCs w:val="24"/>
        </w:rPr>
      </w:pPr>
      <w:r w:rsidRPr="00182754">
        <w:rPr>
          <w:sz w:val="24"/>
          <w:szCs w:val="24"/>
        </w:rPr>
        <w:t>T</w:t>
      </w:r>
      <w:r w:rsidR="009D70BA" w:rsidRPr="00182754">
        <w:rPr>
          <w:sz w:val="24"/>
          <w:szCs w:val="24"/>
        </w:rPr>
        <w:t>he</w:t>
      </w:r>
      <w:r w:rsidR="009D70BA" w:rsidRPr="00182754">
        <w:rPr>
          <w:spacing w:val="-9"/>
          <w:sz w:val="24"/>
          <w:szCs w:val="24"/>
        </w:rPr>
        <w:t xml:space="preserve"> </w:t>
      </w:r>
      <w:r w:rsidR="009D70BA" w:rsidRPr="00182754">
        <w:rPr>
          <w:sz w:val="24"/>
          <w:szCs w:val="24"/>
        </w:rPr>
        <w:t>following</w:t>
      </w:r>
      <w:r w:rsidR="009D70BA" w:rsidRPr="00182754">
        <w:rPr>
          <w:spacing w:val="-9"/>
          <w:sz w:val="24"/>
          <w:szCs w:val="24"/>
        </w:rPr>
        <w:t xml:space="preserve"> </w:t>
      </w:r>
      <w:r w:rsidR="009D70BA" w:rsidRPr="00182754">
        <w:rPr>
          <w:sz w:val="24"/>
          <w:szCs w:val="24"/>
        </w:rPr>
        <w:t>evaluation</w:t>
      </w:r>
      <w:r w:rsidR="009D70BA" w:rsidRPr="00182754">
        <w:rPr>
          <w:spacing w:val="-7"/>
          <w:sz w:val="24"/>
          <w:szCs w:val="24"/>
        </w:rPr>
        <w:t xml:space="preserve"> </w:t>
      </w:r>
      <w:r w:rsidR="00446C15" w:rsidRPr="00182754">
        <w:rPr>
          <w:spacing w:val="-7"/>
          <w:sz w:val="24"/>
          <w:szCs w:val="24"/>
        </w:rPr>
        <w:t xml:space="preserve">of </w:t>
      </w:r>
      <w:r w:rsidR="003839F5">
        <w:rPr>
          <w:spacing w:val="-7"/>
          <w:sz w:val="24"/>
          <w:szCs w:val="24"/>
        </w:rPr>
        <w:t xml:space="preserve">the </w:t>
      </w:r>
      <w:r w:rsidR="00446C15" w:rsidRPr="00182754">
        <w:rPr>
          <w:sz w:val="24"/>
          <w:szCs w:val="24"/>
        </w:rPr>
        <w:t>technical</w:t>
      </w:r>
      <w:r w:rsidR="009D70BA" w:rsidRPr="00182754">
        <w:rPr>
          <w:spacing w:val="-7"/>
          <w:sz w:val="24"/>
          <w:szCs w:val="24"/>
        </w:rPr>
        <w:t xml:space="preserve"> </w:t>
      </w:r>
      <w:r w:rsidR="003839F5">
        <w:rPr>
          <w:spacing w:val="-7"/>
          <w:sz w:val="24"/>
          <w:szCs w:val="24"/>
        </w:rPr>
        <w:t xml:space="preserve">factor and </w:t>
      </w:r>
      <w:r w:rsidR="009D70BA" w:rsidRPr="00182754">
        <w:rPr>
          <w:sz w:val="24"/>
          <w:szCs w:val="24"/>
        </w:rPr>
        <w:t>subfactors</w:t>
      </w:r>
      <w:r w:rsidR="009D70BA" w:rsidRPr="00182754">
        <w:rPr>
          <w:spacing w:val="-7"/>
          <w:sz w:val="24"/>
          <w:szCs w:val="24"/>
        </w:rPr>
        <w:t xml:space="preserve"> </w:t>
      </w:r>
      <w:r w:rsidR="009D70BA" w:rsidRPr="00182754">
        <w:rPr>
          <w:sz w:val="24"/>
          <w:szCs w:val="24"/>
        </w:rPr>
        <w:t>will</w:t>
      </w:r>
      <w:r w:rsidR="009D70BA" w:rsidRPr="00182754">
        <w:rPr>
          <w:spacing w:val="-6"/>
          <w:sz w:val="24"/>
          <w:szCs w:val="24"/>
        </w:rPr>
        <w:t xml:space="preserve"> </w:t>
      </w:r>
      <w:r w:rsidR="009D70BA" w:rsidRPr="00182754">
        <w:rPr>
          <w:sz w:val="24"/>
          <w:szCs w:val="24"/>
        </w:rPr>
        <w:t>be</w:t>
      </w:r>
      <w:r w:rsidR="009D70BA" w:rsidRPr="00182754">
        <w:rPr>
          <w:spacing w:val="-11"/>
          <w:sz w:val="24"/>
          <w:szCs w:val="24"/>
        </w:rPr>
        <w:t xml:space="preserve"> </w:t>
      </w:r>
      <w:r w:rsidR="009D70BA" w:rsidRPr="00182754">
        <w:rPr>
          <w:sz w:val="24"/>
          <w:szCs w:val="24"/>
        </w:rPr>
        <w:t>used</w:t>
      </w:r>
      <w:r w:rsidR="009D70BA" w:rsidRPr="00182754">
        <w:rPr>
          <w:spacing w:val="-7"/>
          <w:sz w:val="24"/>
          <w:szCs w:val="24"/>
        </w:rPr>
        <w:t xml:space="preserve"> </w:t>
      </w:r>
      <w:r w:rsidR="009D70BA" w:rsidRPr="00182754">
        <w:rPr>
          <w:sz w:val="24"/>
          <w:szCs w:val="24"/>
        </w:rPr>
        <w:t>to</w:t>
      </w:r>
      <w:r w:rsidR="009D70BA" w:rsidRPr="00182754">
        <w:rPr>
          <w:spacing w:val="-5"/>
          <w:sz w:val="24"/>
          <w:szCs w:val="24"/>
        </w:rPr>
        <w:t xml:space="preserve"> </w:t>
      </w:r>
      <w:r w:rsidR="009D70BA" w:rsidRPr="00182754">
        <w:rPr>
          <w:sz w:val="24"/>
          <w:szCs w:val="24"/>
        </w:rPr>
        <w:t>evaluate</w:t>
      </w:r>
      <w:r w:rsidR="009D70BA" w:rsidRPr="00182754">
        <w:rPr>
          <w:spacing w:val="-11"/>
          <w:sz w:val="24"/>
          <w:szCs w:val="24"/>
        </w:rPr>
        <w:t xml:space="preserve"> </w:t>
      </w:r>
      <w:r w:rsidR="009D70BA" w:rsidRPr="00182754">
        <w:rPr>
          <w:sz w:val="24"/>
          <w:szCs w:val="24"/>
        </w:rPr>
        <w:t>each</w:t>
      </w:r>
      <w:r w:rsidR="009D70BA" w:rsidRPr="00182754">
        <w:rPr>
          <w:spacing w:val="-7"/>
          <w:sz w:val="24"/>
          <w:szCs w:val="24"/>
        </w:rPr>
        <w:t xml:space="preserve"> </w:t>
      </w:r>
      <w:r w:rsidR="009D70BA" w:rsidRPr="00182754">
        <w:rPr>
          <w:sz w:val="24"/>
          <w:szCs w:val="24"/>
        </w:rPr>
        <w:t>proposal:</w:t>
      </w:r>
    </w:p>
    <w:p w14:paraId="4970F205" w14:textId="77777777" w:rsidR="00931DF2" w:rsidRPr="00182754" w:rsidRDefault="00931DF2" w:rsidP="00A7432A">
      <w:pPr>
        <w:pStyle w:val="BodyText"/>
        <w:spacing w:before="11"/>
        <w:jc w:val="both"/>
      </w:pPr>
    </w:p>
    <w:p w14:paraId="4970F206" w14:textId="77777777" w:rsidR="00931DF2" w:rsidRPr="00182754" w:rsidRDefault="009D70BA" w:rsidP="00C348C4">
      <w:pPr>
        <w:tabs>
          <w:tab w:val="left" w:pos="1361"/>
        </w:tabs>
        <w:jc w:val="both"/>
        <w:rPr>
          <w:sz w:val="24"/>
          <w:szCs w:val="24"/>
        </w:rPr>
      </w:pPr>
      <w:r w:rsidRPr="00182754">
        <w:rPr>
          <w:sz w:val="24"/>
          <w:szCs w:val="24"/>
        </w:rPr>
        <w:t>Factor I:</w:t>
      </w:r>
      <w:r w:rsidRPr="00182754">
        <w:rPr>
          <w:spacing w:val="-7"/>
          <w:sz w:val="24"/>
          <w:szCs w:val="24"/>
        </w:rPr>
        <w:t xml:space="preserve"> </w:t>
      </w:r>
      <w:r w:rsidRPr="00182754">
        <w:rPr>
          <w:sz w:val="24"/>
          <w:szCs w:val="24"/>
        </w:rPr>
        <w:t>Technical</w:t>
      </w:r>
      <w:r w:rsidR="00C348C4" w:rsidRPr="00182754">
        <w:rPr>
          <w:sz w:val="24"/>
          <w:szCs w:val="24"/>
        </w:rPr>
        <w:t xml:space="preserve"> </w:t>
      </w:r>
    </w:p>
    <w:p w14:paraId="4970F207" w14:textId="53F30A74" w:rsidR="00C348C4" w:rsidRPr="00182754" w:rsidRDefault="009D70BA" w:rsidP="00C348C4">
      <w:pPr>
        <w:pStyle w:val="BodyText"/>
        <w:ind w:left="1451" w:right="2089"/>
        <w:jc w:val="both"/>
      </w:pPr>
      <w:r w:rsidRPr="00182754">
        <w:t xml:space="preserve">Subfactor </w:t>
      </w:r>
      <w:r w:rsidR="00811675">
        <w:t>1</w:t>
      </w:r>
      <w:r w:rsidRPr="00182754">
        <w:t xml:space="preserve">: </w:t>
      </w:r>
      <w:r w:rsidR="00FA2F77">
        <w:t>Scenario Response</w:t>
      </w:r>
    </w:p>
    <w:p w14:paraId="4970F208" w14:textId="10E61EF8" w:rsidR="00931DF2" w:rsidRPr="00182754" w:rsidRDefault="00446C15" w:rsidP="00C348C4">
      <w:pPr>
        <w:pStyle w:val="BodyText"/>
        <w:ind w:left="1451" w:right="2089"/>
        <w:jc w:val="both"/>
      </w:pPr>
      <w:r w:rsidRPr="00182754">
        <w:t xml:space="preserve">Subfactor </w:t>
      </w:r>
      <w:r w:rsidR="00811675">
        <w:t>2</w:t>
      </w:r>
      <w:r w:rsidR="00C348C4" w:rsidRPr="00182754">
        <w:t xml:space="preserve">: </w:t>
      </w:r>
      <w:r w:rsidR="00CC20B0" w:rsidRPr="00D67A33">
        <w:t>Small Business Participation Commitment Document (SBPCD)</w:t>
      </w:r>
    </w:p>
    <w:p w14:paraId="39FBA200" w14:textId="77777777" w:rsidR="00CC20B0" w:rsidRDefault="00446C15" w:rsidP="00CC20B0">
      <w:pPr>
        <w:pStyle w:val="BodyText"/>
        <w:ind w:left="1451" w:right="1930"/>
      </w:pPr>
      <w:r w:rsidRPr="00182754">
        <w:t xml:space="preserve">Subfactor </w:t>
      </w:r>
      <w:r w:rsidR="00811675">
        <w:t>3</w:t>
      </w:r>
      <w:r w:rsidR="009D70BA" w:rsidRPr="00182754">
        <w:t xml:space="preserve">: </w:t>
      </w:r>
      <w:r w:rsidR="00CC20B0" w:rsidRPr="00D67A33">
        <w:t>Management and Capacity Plan</w:t>
      </w:r>
    </w:p>
    <w:p w14:paraId="4970F20A" w14:textId="7F8E22BE" w:rsidR="00931DF2" w:rsidRDefault="00931DF2" w:rsidP="00CC20B0">
      <w:pPr>
        <w:pStyle w:val="BodyText"/>
        <w:ind w:right="1930"/>
      </w:pPr>
    </w:p>
    <w:p w14:paraId="4970F20C" w14:textId="40371074" w:rsidR="00DC7DEC" w:rsidRDefault="00DC7DEC" w:rsidP="00DC7DEC">
      <w:pPr>
        <w:tabs>
          <w:tab w:val="left" w:pos="821"/>
        </w:tabs>
        <w:spacing w:before="206" w:line="244" w:lineRule="auto"/>
        <w:ind w:right="109"/>
        <w:jc w:val="both"/>
        <w:rPr>
          <w:sz w:val="24"/>
          <w:szCs w:val="24"/>
        </w:rPr>
      </w:pPr>
      <w:r w:rsidRPr="00182754">
        <w:rPr>
          <w:sz w:val="24"/>
          <w:szCs w:val="24"/>
        </w:rPr>
        <w:t xml:space="preserve">Relative Importance of Factors and Subfactors. There is only one Factor, </w:t>
      </w:r>
      <w:r w:rsidR="003839F5" w:rsidRPr="00182754">
        <w:rPr>
          <w:sz w:val="24"/>
          <w:szCs w:val="24"/>
        </w:rPr>
        <w:t>Technical</w:t>
      </w:r>
      <w:r w:rsidRPr="00182754">
        <w:rPr>
          <w:sz w:val="24"/>
          <w:szCs w:val="24"/>
        </w:rPr>
        <w:t xml:space="preserve"> with </w:t>
      </w:r>
      <w:r w:rsidR="00017093">
        <w:rPr>
          <w:sz w:val="24"/>
          <w:szCs w:val="24"/>
        </w:rPr>
        <w:t>four</w:t>
      </w:r>
      <w:r w:rsidRPr="00182754">
        <w:rPr>
          <w:sz w:val="24"/>
          <w:szCs w:val="24"/>
        </w:rPr>
        <w:t xml:space="preserve"> (</w:t>
      </w:r>
      <w:r w:rsidR="00017093">
        <w:rPr>
          <w:sz w:val="24"/>
          <w:szCs w:val="24"/>
        </w:rPr>
        <w:t>4</w:t>
      </w:r>
      <w:r w:rsidRPr="00182754">
        <w:rPr>
          <w:sz w:val="24"/>
          <w:szCs w:val="24"/>
        </w:rPr>
        <w:t>) subfactors.  The relative importan</w:t>
      </w:r>
      <w:r w:rsidR="004E697A">
        <w:rPr>
          <w:sz w:val="24"/>
          <w:szCs w:val="24"/>
        </w:rPr>
        <w:t>ce of each subfactor is equal</w:t>
      </w:r>
      <w:r w:rsidRPr="00182754">
        <w:rPr>
          <w:sz w:val="24"/>
          <w:szCs w:val="24"/>
        </w:rPr>
        <w:t>.</w:t>
      </w:r>
    </w:p>
    <w:p w14:paraId="4970F20D" w14:textId="77777777" w:rsidR="00DC7DEC" w:rsidRPr="00182754" w:rsidRDefault="00DC7DEC" w:rsidP="00A7432A">
      <w:pPr>
        <w:pStyle w:val="BodyText"/>
        <w:spacing w:before="1"/>
        <w:jc w:val="both"/>
      </w:pPr>
    </w:p>
    <w:p w14:paraId="4970F20E" w14:textId="77777777" w:rsidR="00931DF2" w:rsidRPr="003839F5" w:rsidRDefault="003839F5" w:rsidP="00740ABA">
      <w:pPr>
        <w:tabs>
          <w:tab w:val="left" w:pos="461"/>
        </w:tabs>
        <w:jc w:val="both"/>
        <w:rPr>
          <w:sz w:val="24"/>
          <w:szCs w:val="24"/>
          <w:u w:val="single"/>
        </w:rPr>
      </w:pPr>
      <w:r w:rsidRPr="003839F5">
        <w:rPr>
          <w:sz w:val="24"/>
          <w:szCs w:val="24"/>
          <w:u w:val="single"/>
        </w:rPr>
        <w:t xml:space="preserve">5.1.  </w:t>
      </w:r>
      <w:r w:rsidR="009D70BA" w:rsidRPr="003839F5">
        <w:rPr>
          <w:sz w:val="24"/>
          <w:szCs w:val="24"/>
          <w:u w:val="single"/>
        </w:rPr>
        <w:t>Factor I:</w:t>
      </w:r>
      <w:r w:rsidR="009D70BA" w:rsidRPr="003839F5">
        <w:rPr>
          <w:spacing w:val="-8"/>
          <w:sz w:val="24"/>
          <w:szCs w:val="24"/>
          <w:u w:val="single"/>
        </w:rPr>
        <w:t xml:space="preserve"> </w:t>
      </w:r>
      <w:r w:rsidR="009D70BA" w:rsidRPr="003839F5">
        <w:rPr>
          <w:sz w:val="24"/>
          <w:szCs w:val="24"/>
          <w:u w:val="single"/>
        </w:rPr>
        <w:t>Technical</w:t>
      </w:r>
      <w:r w:rsidR="00740ABA" w:rsidRPr="003839F5">
        <w:rPr>
          <w:sz w:val="24"/>
          <w:szCs w:val="24"/>
          <w:u w:val="single"/>
        </w:rPr>
        <w:t xml:space="preserve"> </w:t>
      </w:r>
    </w:p>
    <w:p w14:paraId="4970F20F" w14:textId="572BD1A0" w:rsidR="00931DF2" w:rsidRPr="00182754" w:rsidRDefault="009D70BA" w:rsidP="003839F5">
      <w:pPr>
        <w:pStyle w:val="BodyText"/>
        <w:ind w:right="663"/>
        <w:jc w:val="both"/>
      </w:pPr>
      <w:r w:rsidRPr="00182754">
        <w:t>The</w:t>
      </w:r>
      <w:r w:rsidR="001C0D9B" w:rsidRPr="00182754">
        <w:t xml:space="preserve"> Government will rate the T</w:t>
      </w:r>
      <w:r w:rsidRPr="00182754">
        <w:t xml:space="preserve">echnical </w:t>
      </w:r>
      <w:r w:rsidR="003839F5">
        <w:t xml:space="preserve">Factor </w:t>
      </w:r>
      <w:r w:rsidRPr="00182754">
        <w:t xml:space="preserve">at the subfactor level and </w:t>
      </w:r>
      <w:r w:rsidR="003839F5">
        <w:t xml:space="preserve">then </w:t>
      </w:r>
      <w:r w:rsidRPr="00182754">
        <w:t>assign a</w:t>
      </w:r>
      <w:r w:rsidR="003839F5">
        <w:t xml:space="preserve">n overall </w:t>
      </w:r>
      <w:r w:rsidRPr="00182754">
        <w:t>rating of “Acceptable” or “Unacceptable</w:t>
      </w:r>
      <w:r w:rsidR="003839F5">
        <w:t>.</w:t>
      </w:r>
      <w:r w:rsidRPr="00182754">
        <w:t xml:space="preserve">” The subfactor ratings will be rolled up into an overall Technical Factor rating. </w:t>
      </w:r>
      <w:r w:rsidR="003839F5">
        <w:t xml:space="preserve"> All subfactors must receive </w:t>
      </w:r>
      <w:r w:rsidR="004E697A">
        <w:t>an “Acceptable” rating</w:t>
      </w:r>
      <w:r w:rsidR="003839F5">
        <w:t xml:space="preserve"> </w:t>
      </w:r>
      <w:r w:rsidRPr="00182754">
        <w:t xml:space="preserve">in order for the Technical Factor rating to be found “Acceptable.” If any subfactor is rated </w:t>
      </w:r>
      <w:r w:rsidR="004E697A">
        <w:t>“Unacceptable”</w:t>
      </w:r>
      <w:r w:rsidR="003839F5">
        <w:t>,</w:t>
      </w:r>
      <w:r w:rsidRPr="00182754">
        <w:t xml:space="preserve"> then the overall Technical Fact</w:t>
      </w:r>
      <w:r w:rsidR="00EA2D49">
        <w:t>or rating will be “Unacceptable</w:t>
      </w:r>
      <w:r w:rsidRPr="00182754">
        <w:t>”</w:t>
      </w:r>
      <w:r w:rsidR="00EA2D49">
        <w:t xml:space="preserve"> and the Offeror will be deemed ineligible for award. </w:t>
      </w:r>
      <w:r w:rsidR="0039209E">
        <w:t xml:space="preserve"> Factor 1 - </w:t>
      </w:r>
      <w:r w:rsidR="00B23E0A" w:rsidRPr="00182754">
        <w:t>Technical will</w:t>
      </w:r>
      <w:r w:rsidR="005547EB">
        <w:t xml:space="preserve"> be</w:t>
      </w:r>
      <w:r w:rsidR="00B23E0A" w:rsidRPr="00182754">
        <w:t xml:space="preserve"> rated based on the rating table (Table 1) below:</w:t>
      </w:r>
    </w:p>
    <w:p w14:paraId="4970F210" w14:textId="77777777" w:rsidR="00C12622" w:rsidRPr="00182754" w:rsidRDefault="00C12622" w:rsidP="00A7432A">
      <w:pPr>
        <w:pStyle w:val="BodyText"/>
        <w:spacing w:before="11"/>
        <w:jc w:val="both"/>
      </w:pPr>
    </w:p>
    <w:p w14:paraId="4970F211" w14:textId="77777777" w:rsidR="00931DF2" w:rsidRPr="0039209E" w:rsidRDefault="00B23E0A" w:rsidP="00A7432A">
      <w:pPr>
        <w:pStyle w:val="BodyText"/>
        <w:spacing w:after="8"/>
        <w:ind w:left="100"/>
        <w:jc w:val="both"/>
        <w:rPr>
          <w:sz w:val="20"/>
          <w:szCs w:val="20"/>
        </w:rPr>
      </w:pPr>
      <w:r w:rsidRPr="0039209E">
        <w:rPr>
          <w:sz w:val="20"/>
          <w:szCs w:val="20"/>
        </w:rPr>
        <w:t xml:space="preserve">Factor 1 - Technical </w:t>
      </w:r>
      <w:r w:rsidR="0039209E">
        <w:rPr>
          <w:sz w:val="20"/>
          <w:szCs w:val="20"/>
        </w:rPr>
        <w:t xml:space="preserve">Ratings </w:t>
      </w:r>
      <w:r w:rsidRPr="0039209E">
        <w:rPr>
          <w:sz w:val="20"/>
          <w:szCs w:val="20"/>
        </w:rPr>
        <w:t>(</w:t>
      </w:r>
      <w:r w:rsidR="009D70BA" w:rsidRPr="0039209E">
        <w:rPr>
          <w:sz w:val="20"/>
          <w:szCs w:val="20"/>
        </w:rPr>
        <w:t>Table 1</w:t>
      </w:r>
      <w:r w:rsidRPr="0039209E">
        <w:rPr>
          <w:sz w:val="20"/>
          <w:szCs w:val="20"/>
        </w:rPr>
        <w:t>)</w:t>
      </w: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49"/>
        <w:gridCol w:w="5806"/>
      </w:tblGrid>
      <w:tr w:rsidR="00931DF2" w:rsidRPr="00182754" w14:paraId="4970F214" w14:textId="77777777" w:rsidTr="00A7432A">
        <w:trPr>
          <w:trHeight w:hRule="exact" w:val="288"/>
        </w:trPr>
        <w:tc>
          <w:tcPr>
            <w:tcW w:w="3349" w:type="dxa"/>
          </w:tcPr>
          <w:p w14:paraId="4970F212" w14:textId="77777777" w:rsidR="00931DF2" w:rsidRPr="00182754" w:rsidRDefault="009D70BA" w:rsidP="00A7432A">
            <w:pPr>
              <w:pStyle w:val="TableParagraph"/>
              <w:spacing w:line="273" w:lineRule="exact"/>
              <w:jc w:val="both"/>
              <w:rPr>
                <w:b/>
                <w:sz w:val="24"/>
                <w:szCs w:val="24"/>
              </w:rPr>
            </w:pPr>
            <w:r w:rsidRPr="00182754">
              <w:rPr>
                <w:b/>
                <w:sz w:val="24"/>
                <w:szCs w:val="24"/>
              </w:rPr>
              <w:t>Rating</w:t>
            </w:r>
          </w:p>
        </w:tc>
        <w:tc>
          <w:tcPr>
            <w:tcW w:w="5806" w:type="dxa"/>
          </w:tcPr>
          <w:p w14:paraId="4970F213" w14:textId="77777777" w:rsidR="00931DF2" w:rsidRPr="00182754" w:rsidRDefault="009D70BA" w:rsidP="00A7432A">
            <w:pPr>
              <w:pStyle w:val="TableParagraph"/>
              <w:spacing w:line="273" w:lineRule="exact"/>
              <w:jc w:val="both"/>
              <w:rPr>
                <w:b/>
                <w:sz w:val="24"/>
                <w:szCs w:val="24"/>
              </w:rPr>
            </w:pPr>
            <w:r w:rsidRPr="00182754">
              <w:rPr>
                <w:b/>
                <w:sz w:val="24"/>
                <w:szCs w:val="24"/>
              </w:rPr>
              <w:t>Description</w:t>
            </w:r>
          </w:p>
        </w:tc>
      </w:tr>
      <w:tr w:rsidR="00931DF2" w:rsidRPr="00182754" w14:paraId="4970F217" w14:textId="77777777" w:rsidTr="00A7432A">
        <w:trPr>
          <w:trHeight w:hRule="exact" w:val="286"/>
        </w:trPr>
        <w:tc>
          <w:tcPr>
            <w:tcW w:w="3349" w:type="dxa"/>
          </w:tcPr>
          <w:p w14:paraId="4970F215" w14:textId="77777777" w:rsidR="00931DF2" w:rsidRPr="00182754" w:rsidRDefault="009D70BA" w:rsidP="00A7432A">
            <w:pPr>
              <w:pStyle w:val="TableParagraph"/>
              <w:spacing w:line="266" w:lineRule="exact"/>
              <w:jc w:val="both"/>
              <w:rPr>
                <w:sz w:val="24"/>
                <w:szCs w:val="24"/>
              </w:rPr>
            </w:pPr>
            <w:r w:rsidRPr="00182754">
              <w:rPr>
                <w:sz w:val="24"/>
                <w:szCs w:val="24"/>
              </w:rPr>
              <w:t>Acceptable</w:t>
            </w:r>
          </w:p>
        </w:tc>
        <w:tc>
          <w:tcPr>
            <w:tcW w:w="5806" w:type="dxa"/>
          </w:tcPr>
          <w:p w14:paraId="4970F216" w14:textId="77777777" w:rsidR="00931DF2" w:rsidRPr="00182754" w:rsidRDefault="009D70BA" w:rsidP="00A7432A">
            <w:pPr>
              <w:pStyle w:val="TableParagraph"/>
              <w:spacing w:line="266" w:lineRule="exact"/>
              <w:jc w:val="both"/>
              <w:rPr>
                <w:sz w:val="24"/>
                <w:szCs w:val="24"/>
              </w:rPr>
            </w:pPr>
            <w:r w:rsidRPr="00182754">
              <w:rPr>
                <w:sz w:val="24"/>
                <w:szCs w:val="24"/>
              </w:rPr>
              <w:t>Proposal meets the requirements of the solicitation.</w:t>
            </w:r>
          </w:p>
        </w:tc>
      </w:tr>
      <w:tr w:rsidR="00931DF2" w:rsidRPr="00182754" w14:paraId="4970F21A" w14:textId="77777777" w:rsidTr="00A7432A">
        <w:trPr>
          <w:trHeight w:hRule="exact" w:val="286"/>
        </w:trPr>
        <w:tc>
          <w:tcPr>
            <w:tcW w:w="3349" w:type="dxa"/>
          </w:tcPr>
          <w:p w14:paraId="4970F218" w14:textId="77777777" w:rsidR="00931DF2" w:rsidRPr="00182754" w:rsidRDefault="009D70BA" w:rsidP="00A7432A">
            <w:pPr>
              <w:pStyle w:val="TableParagraph"/>
              <w:spacing w:line="266" w:lineRule="exact"/>
              <w:jc w:val="both"/>
              <w:rPr>
                <w:sz w:val="24"/>
                <w:szCs w:val="24"/>
              </w:rPr>
            </w:pPr>
            <w:r w:rsidRPr="00182754">
              <w:rPr>
                <w:sz w:val="24"/>
                <w:szCs w:val="24"/>
              </w:rPr>
              <w:t>Unacceptable</w:t>
            </w:r>
          </w:p>
        </w:tc>
        <w:tc>
          <w:tcPr>
            <w:tcW w:w="5806" w:type="dxa"/>
          </w:tcPr>
          <w:p w14:paraId="4970F219" w14:textId="77777777" w:rsidR="00931DF2" w:rsidRPr="00182754" w:rsidRDefault="009D70BA" w:rsidP="00A7432A">
            <w:pPr>
              <w:pStyle w:val="TableParagraph"/>
              <w:spacing w:line="266" w:lineRule="exact"/>
              <w:jc w:val="both"/>
              <w:rPr>
                <w:sz w:val="24"/>
                <w:szCs w:val="24"/>
              </w:rPr>
            </w:pPr>
            <w:r w:rsidRPr="00182754">
              <w:rPr>
                <w:sz w:val="24"/>
                <w:szCs w:val="24"/>
              </w:rPr>
              <w:t>Proposal does not meet the requirements of the solicitation.</w:t>
            </w:r>
          </w:p>
        </w:tc>
      </w:tr>
    </w:tbl>
    <w:p w14:paraId="4970F21B" w14:textId="77777777" w:rsidR="00FF030D" w:rsidRDefault="00FF030D" w:rsidP="00A7432A">
      <w:pPr>
        <w:pStyle w:val="BodyText"/>
        <w:spacing w:before="8"/>
        <w:jc w:val="both"/>
        <w:rPr>
          <w:sz w:val="20"/>
          <w:szCs w:val="20"/>
        </w:rPr>
      </w:pPr>
    </w:p>
    <w:p w14:paraId="2C8C3241" w14:textId="77777777" w:rsidR="000740D3" w:rsidRDefault="000740D3" w:rsidP="00A7432A">
      <w:pPr>
        <w:pStyle w:val="BodyText"/>
        <w:spacing w:before="8"/>
        <w:jc w:val="both"/>
        <w:rPr>
          <w:sz w:val="20"/>
          <w:szCs w:val="20"/>
        </w:rPr>
      </w:pPr>
    </w:p>
    <w:p w14:paraId="7C74C48C" w14:textId="69877F42" w:rsidR="000740D3" w:rsidRDefault="000740D3" w:rsidP="00B52F2D">
      <w:pPr>
        <w:pStyle w:val="ListParagraph"/>
        <w:numPr>
          <w:ilvl w:val="2"/>
          <w:numId w:val="19"/>
        </w:numPr>
        <w:tabs>
          <w:tab w:val="left" w:pos="641"/>
        </w:tabs>
        <w:ind w:right="530"/>
        <w:jc w:val="both"/>
        <w:rPr>
          <w:b/>
          <w:bCs/>
          <w:sz w:val="24"/>
          <w:szCs w:val="24"/>
        </w:rPr>
      </w:pPr>
      <w:r w:rsidRPr="008423B7">
        <w:rPr>
          <w:b/>
          <w:bCs/>
          <w:sz w:val="24"/>
          <w:szCs w:val="24"/>
        </w:rPr>
        <w:t xml:space="preserve"> Subfactor 1: Scenario Response  </w:t>
      </w:r>
    </w:p>
    <w:p w14:paraId="413B0DCA" w14:textId="77777777" w:rsidR="008423B7" w:rsidRPr="008423B7" w:rsidRDefault="008423B7" w:rsidP="008423B7">
      <w:pPr>
        <w:tabs>
          <w:tab w:val="left" w:pos="641"/>
        </w:tabs>
        <w:ind w:right="530"/>
        <w:jc w:val="both"/>
        <w:rPr>
          <w:b/>
          <w:bCs/>
          <w:sz w:val="24"/>
          <w:szCs w:val="24"/>
        </w:rPr>
      </w:pPr>
    </w:p>
    <w:p w14:paraId="441CB0D0" w14:textId="24B2F50A" w:rsidR="00801172" w:rsidRPr="00AD53BB" w:rsidRDefault="000740D3" w:rsidP="00B52F2D">
      <w:pPr>
        <w:pStyle w:val="ListParagraph"/>
        <w:tabs>
          <w:tab w:val="left" w:pos="641"/>
        </w:tabs>
        <w:ind w:left="0" w:right="530"/>
        <w:jc w:val="both"/>
        <w:rPr>
          <w:sz w:val="24"/>
          <w:szCs w:val="24"/>
        </w:rPr>
      </w:pPr>
      <w:r w:rsidRPr="00182754">
        <w:rPr>
          <w:sz w:val="24"/>
          <w:szCs w:val="24"/>
        </w:rPr>
        <w:t xml:space="preserve">The Government will evaluate </w:t>
      </w:r>
      <w:r>
        <w:rPr>
          <w:sz w:val="24"/>
          <w:szCs w:val="24"/>
        </w:rPr>
        <w:t xml:space="preserve">the </w:t>
      </w:r>
      <w:r w:rsidR="002574D5">
        <w:rPr>
          <w:sz w:val="24"/>
          <w:szCs w:val="24"/>
        </w:rPr>
        <w:t xml:space="preserve">contractor proposed PWS and </w:t>
      </w:r>
      <w:r>
        <w:rPr>
          <w:sz w:val="24"/>
          <w:szCs w:val="24"/>
        </w:rPr>
        <w:t xml:space="preserve">oral presentation </w:t>
      </w:r>
      <w:r w:rsidR="002E553D">
        <w:rPr>
          <w:sz w:val="24"/>
          <w:szCs w:val="24"/>
        </w:rPr>
        <w:t xml:space="preserve">resulting from the provided </w:t>
      </w:r>
      <w:r>
        <w:rPr>
          <w:sz w:val="24"/>
          <w:szCs w:val="24"/>
        </w:rPr>
        <w:t xml:space="preserve"> scenario </w:t>
      </w:r>
      <w:r w:rsidR="002574D5">
        <w:rPr>
          <w:sz w:val="24"/>
          <w:szCs w:val="24"/>
        </w:rPr>
        <w:t>(</w:t>
      </w:r>
      <w:r w:rsidR="002E553D">
        <w:rPr>
          <w:sz w:val="24"/>
          <w:szCs w:val="24"/>
        </w:rPr>
        <w:t>Statement of Objectives [</w:t>
      </w:r>
      <w:r w:rsidR="002574D5">
        <w:rPr>
          <w:sz w:val="24"/>
          <w:szCs w:val="24"/>
        </w:rPr>
        <w:t>SOO</w:t>
      </w:r>
      <w:r w:rsidR="002E553D">
        <w:rPr>
          <w:sz w:val="24"/>
          <w:szCs w:val="24"/>
        </w:rPr>
        <w:t>]</w:t>
      </w:r>
      <w:r w:rsidR="002574D5">
        <w:rPr>
          <w:sz w:val="24"/>
          <w:szCs w:val="24"/>
        </w:rPr>
        <w:t>)</w:t>
      </w:r>
      <w:r w:rsidRPr="00182754">
        <w:rPr>
          <w:sz w:val="24"/>
          <w:szCs w:val="24"/>
        </w:rPr>
        <w:t xml:space="preserve">. </w:t>
      </w:r>
      <w:r w:rsidR="00B52F2D">
        <w:rPr>
          <w:sz w:val="24"/>
          <w:szCs w:val="24"/>
        </w:rPr>
        <w:t xml:space="preserve"> </w:t>
      </w:r>
      <w:r w:rsidR="00801172">
        <w:t xml:space="preserve">The Government will evaluate each Offerors </w:t>
      </w:r>
      <w:r w:rsidR="00970C3E">
        <w:rPr>
          <w:sz w:val="24"/>
          <w:szCs w:val="24"/>
        </w:rPr>
        <w:t xml:space="preserve">contractor proposed PWS and oral </w:t>
      </w:r>
      <w:r w:rsidR="00970C3E" w:rsidRPr="00AD53BB">
        <w:rPr>
          <w:sz w:val="24"/>
          <w:szCs w:val="24"/>
        </w:rPr>
        <w:t xml:space="preserve">presentation </w:t>
      </w:r>
      <w:r w:rsidR="00801172" w:rsidRPr="00AD53BB">
        <w:rPr>
          <w:sz w:val="24"/>
          <w:szCs w:val="24"/>
        </w:rPr>
        <w:t xml:space="preserve">in how they will meet the Government’s desired outcome IAW the </w:t>
      </w:r>
      <w:r w:rsidR="002E553D" w:rsidRPr="00AD53BB">
        <w:rPr>
          <w:sz w:val="24"/>
          <w:szCs w:val="24"/>
        </w:rPr>
        <w:t xml:space="preserve">scenario(s) </w:t>
      </w:r>
      <w:r w:rsidR="00E82AAA" w:rsidRPr="00AD53BB">
        <w:rPr>
          <w:sz w:val="24"/>
          <w:szCs w:val="24"/>
        </w:rPr>
        <w:t>(</w:t>
      </w:r>
      <w:r w:rsidR="00801172" w:rsidRPr="00AD53BB">
        <w:rPr>
          <w:sz w:val="24"/>
          <w:szCs w:val="24"/>
        </w:rPr>
        <w:t>SOO</w:t>
      </w:r>
      <w:r w:rsidR="00E82AAA" w:rsidRPr="00AD53BB">
        <w:rPr>
          <w:sz w:val="24"/>
          <w:szCs w:val="24"/>
        </w:rPr>
        <w:t>)</w:t>
      </w:r>
      <w:r w:rsidR="00801172" w:rsidRPr="00AD53BB">
        <w:rPr>
          <w:sz w:val="24"/>
          <w:szCs w:val="24"/>
        </w:rPr>
        <w:t>.  The government will evaluat</w:t>
      </w:r>
      <w:r w:rsidR="007C26E9" w:rsidRPr="00AD53BB">
        <w:rPr>
          <w:sz w:val="24"/>
          <w:szCs w:val="24"/>
        </w:rPr>
        <w:t>e</w:t>
      </w:r>
      <w:r w:rsidR="00801172" w:rsidRPr="00AD53BB">
        <w:rPr>
          <w:sz w:val="24"/>
          <w:szCs w:val="24"/>
        </w:rPr>
        <w:t xml:space="preserve"> for </w:t>
      </w:r>
      <w:r w:rsidR="00191221">
        <w:rPr>
          <w:sz w:val="24"/>
          <w:szCs w:val="24"/>
        </w:rPr>
        <w:t xml:space="preserve">realism, </w:t>
      </w:r>
      <w:r w:rsidR="00801172" w:rsidRPr="00AD53BB">
        <w:rPr>
          <w:sz w:val="24"/>
          <w:szCs w:val="24"/>
        </w:rPr>
        <w:t xml:space="preserve">understanding, effectiveness, sustainability, </w:t>
      </w:r>
      <w:r w:rsidR="00191221">
        <w:rPr>
          <w:sz w:val="24"/>
          <w:szCs w:val="24"/>
        </w:rPr>
        <w:t xml:space="preserve">and </w:t>
      </w:r>
      <w:r w:rsidR="002B4A2D">
        <w:rPr>
          <w:sz w:val="24"/>
          <w:szCs w:val="24"/>
        </w:rPr>
        <w:t xml:space="preserve">risk </w:t>
      </w:r>
      <w:r w:rsidR="00801172" w:rsidRPr="00AD53BB">
        <w:rPr>
          <w:sz w:val="24"/>
          <w:szCs w:val="24"/>
        </w:rPr>
        <w:t>of the approach.</w:t>
      </w:r>
      <w:r w:rsidR="00801172" w:rsidRPr="00AD53BB">
        <w:rPr>
          <w:spacing w:val="40"/>
          <w:sz w:val="24"/>
          <w:szCs w:val="24"/>
        </w:rPr>
        <w:t xml:space="preserve"> </w:t>
      </w:r>
      <w:r w:rsidR="00801172" w:rsidRPr="00AD53BB">
        <w:rPr>
          <w:sz w:val="24"/>
          <w:szCs w:val="24"/>
        </w:rPr>
        <w:t>The</w:t>
      </w:r>
      <w:r w:rsidR="00801172" w:rsidRPr="00AD53BB">
        <w:rPr>
          <w:spacing w:val="-5"/>
          <w:sz w:val="24"/>
          <w:szCs w:val="24"/>
        </w:rPr>
        <w:t xml:space="preserve"> </w:t>
      </w:r>
      <w:r w:rsidR="00801172" w:rsidRPr="00AD53BB">
        <w:rPr>
          <w:sz w:val="24"/>
          <w:szCs w:val="24"/>
        </w:rPr>
        <w:t>Government</w:t>
      </w:r>
      <w:r w:rsidR="00801172" w:rsidRPr="00AD53BB">
        <w:rPr>
          <w:spacing w:val="-4"/>
          <w:sz w:val="24"/>
          <w:szCs w:val="24"/>
        </w:rPr>
        <w:t xml:space="preserve"> </w:t>
      </w:r>
      <w:r w:rsidR="00801172" w:rsidRPr="00AD53BB">
        <w:rPr>
          <w:sz w:val="24"/>
          <w:szCs w:val="24"/>
        </w:rPr>
        <w:t>will</w:t>
      </w:r>
      <w:r w:rsidR="00801172" w:rsidRPr="00AD53BB">
        <w:rPr>
          <w:spacing w:val="-4"/>
          <w:sz w:val="24"/>
          <w:szCs w:val="24"/>
        </w:rPr>
        <w:t xml:space="preserve"> </w:t>
      </w:r>
      <w:r w:rsidR="00801172" w:rsidRPr="00AD53BB">
        <w:rPr>
          <w:sz w:val="24"/>
          <w:szCs w:val="24"/>
        </w:rPr>
        <w:t>evaluate</w:t>
      </w:r>
      <w:r w:rsidR="00801172" w:rsidRPr="00AD53BB">
        <w:rPr>
          <w:spacing w:val="-3"/>
          <w:sz w:val="24"/>
          <w:szCs w:val="24"/>
        </w:rPr>
        <w:t xml:space="preserve"> </w:t>
      </w:r>
      <w:r w:rsidR="00801172" w:rsidRPr="00AD53BB">
        <w:rPr>
          <w:sz w:val="24"/>
          <w:szCs w:val="24"/>
        </w:rPr>
        <w:t>each</w:t>
      </w:r>
      <w:r w:rsidR="00801172" w:rsidRPr="00AD53BB">
        <w:rPr>
          <w:spacing w:val="-4"/>
          <w:sz w:val="24"/>
          <w:szCs w:val="24"/>
        </w:rPr>
        <w:t xml:space="preserve"> </w:t>
      </w:r>
      <w:r w:rsidR="00801172" w:rsidRPr="00AD53BB">
        <w:rPr>
          <w:sz w:val="24"/>
          <w:szCs w:val="24"/>
        </w:rPr>
        <w:t>Offerors</w:t>
      </w:r>
      <w:r w:rsidR="00801172" w:rsidRPr="00AD53BB">
        <w:rPr>
          <w:spacing w:val="-4"/>
          <w:sz w:val="24"/>
          <w:szCs w:val="24"/>
        </w:rPr>
        <w:t xml:space="preserve"> </w:t>
      </w:r>
      <w:r w:rsidR="00E82AAA" w:rsidRPr="00AD53BB">
        <w:rPr>
          <w:sz w:val="24"/>
          <w:szCs w:val="24"/>
        </w:rPr>
        <w:t>contractor proposed PWS and oral presentation</w:t>
      </w:r>
      <w:r w:rsidR="00801172" w:rsidRPr="00AD53BB">
        <w:rPr>
          <w:sz w:val="24"/>
          <w:szCs w:val="24"/>
        </w:rPr>
        <w:t xml:space="preserve"> to ensure the solution and approach consider applicable regulations, stakeholder engagement, deliverables, and milestones. The Government will evaluate the realism and risks of all proposed </w:t>
      </w:r>
      <w:r w:rsidR="000F083B" w:rsidRPr="00AD53BB">
        <w:rPr>
          <w:sz w:val="24"/>
          <w:szCs w:val="24"/>
        </w:rPr>
        <w:t xml:space="preserve">approaches and </w:t>
      </w:r>
      <w:r w:rsidR="00801172" w:rsidRPr="00AD53BB">
        <w:rPr>
          <w:sz w:val="24"/>
          <w:szCs w:val="24"/>
        </w:rPr>
        <w:t>assumptions</w:t>
      </w:r>
      <w:r w:rsidR="00801172" w:rsidRPr="00AD53BB">
        <w:rPr>
          <w:spacing w:val="-2"/>
          <w:sz w:val="24"/>
          <w:szCs w:val="24"/>
        </w:rPr>
        <w:t>.</w:t>
      </w:r>
      <w:r w:rsidR="00F12898" w:rsidRPr="00AD53BB">
        <w:rPr>
          <w:spacing w:val="-2"/>
          <w:sz w:val="24"/>
          <w:szCs w:val="24"/>
        </w:rPr>
        <w:t xml:space="preserve">  The Government will evaluate:</w:t>
      </w:r>
    </w:p>
    <w:p w14:paraId="1BB7E705" w14:textId="7A6B4587" w:rsidR="00801172" w:rsidRPr="00191221" w:rsidRDefault="00801172" w:rsidP="00801172">
      <w:pPr>
        <w:pStyle w:val="BodyText"/>
        <w:numPr>
          <w:ilvl w:val="1"/>
          <w:numId w:val="18"/>
        </w:numPr>
        <w:ind w:left="1555"/>
        <w:rPr>
          <w:color w:val="FF0000"/>
        </w:rPr>
      </w:pPr>
      <w:r w:rsidRPr="00191221">
        <w:rPr>
          <w:color w:val="FF0000"/>
        </w:rPr>
        <w:t>Realism: The proposed approach provided enough detail to persuade the Government the solution can achieve the desired outcome.</w:t>
      </w:r>
      <w:r w:rsidR="004C71A7" w:rsidRPr="00191221">
        <w:rPr>
          <w:color w:val="FF0000"/>
        </w:rPr>
        <w:t xml:space="preserve"> </w:t>
      </w:r>
      <w:r w:rsidR="00F3296D" w:rsidRPr="00191221">
        <w:rPr>
          <w:color w:val="FF0000"/>
        </w:rPr>
        <w:t xml:space="preserve">The solution </w:t>
      </w:r>
      <w:r w:rsidR="00146EB7" w:rsidRPr="00191221">
        <w:rPr>
          <w:color w:val="FF0000"/>
        </w:rPr>
        <w:t>provided demonstrable m</w:t>
      </w:r>
      <w:r w:rsidR="004C71A7" w:rsidRPr="00191221">
        <w:rPr>
          <w:color w:val="FF0000"/>
        </w:rPr>
        <w:t>easure of how economically resources/inputs (expertise, time, equipment, etc.) are converted into results</w:t>
      </w:r>
      <w:r w:rsidR="004C71A7" w:rsidRPr="00191221">
        <w:rPr>
          <w:color w:val="FF0000"/>
        </w:rPr>
        <w:t xml:space="preserve">. </w:t>
      </w:r>
    </w:p>
    <w:p w14:paraId="79265AEB" w14:textId="77777777" w:rsidR="00801172" w:rsidRPr="00CF1D6C" w:rsidRDefault="00801172" w:rsidP="00801172">
      <w:pPr>
        <w:pStyle w:val="BodyText"/>
        <w:numPr>
          <w:ilvl w:val="1"/>
          <w:numId w:val="18"/>
        </w:numPr>
        <w:ind w:left="1555"/>
      </w:pPr>
      <w:r w:rsidRPr="00AD53BB">
        <w:t>Understanding: The extent to which the transformation is consistent</w:t>
      </w:r>
      <w:r w:rsidRPr="00CF1D6C">
        <w:t xml:space="preserve"> with the mission partners’ need, priorities </w:t>
      </w:r>
    </w:p>
    <w:p w14:paraId="372657C2" w14:textId="329F58DC" w:rsidR="00801172" w:rsidRPr="00CF1D6C" w:rsidRDefault="00801172" w:rsidP="004C71A7">
      <w:pPr>
        <w:pStyle w:val="BodyText"/>
        <w:numPr>
          <w:ilvl w:val="1"/>
          <w:numId w:val="18"/>
        </w:numPr>
        <w:ind w:left="1555"/>
      </w:pPr>
      <w:r w:rsidRPr="00CF1D6C">
        <w:t xml:space="preserve">Effectiveness: The extent to which the transformations objectives </w:t>
      </w:r>
      <w:r>
        <w:t>can be</w:t>
      </w:r>
      <w:r w:rsidRPr="00CF1D6C">
        <w:t xml:space="preserve"> achieved, or are expected to be achieved</w:t>
      </w:r>
    </w:p>
    <w:p w14:paraId="550171CF" w14:textId="77777777" w:rsidR="00801172" w:rsidRDefault="00801172" w:rsidP="00801172">
      <w:pPr>
        <w:pStyle w:val="BodyText"/>
        <w:numPr>
          <w:ilvl w:val="1"/>
          <w:numId w:val="18"/>
        </w:numPr>
        <w:ind w:left="1555"/>
      </w:pPr>
      <w:r w:rsidRPr="00CF1D6C">
        <w:t xml:space="preserve">Sustainability: </w:t>
      </w:r>
      <w:r>
        <w:t>T</w:t>
      </w:r>
      <w:r w:rsidRPr="00CF1D6C">
        <w:t xml:space="preserve">he ability of </w:t>
      </w:r>
      <w:r>
        <w:t>the government</w:t>
      </w:r>
      <w:r w:rsidRPr="00CF1D6C">
        <w:t xml:space="preserve"> to sustain transformation benefits</w:t>
      </w:r>
      <w:r w:rsidRPr="0086700A">
        <w:t xml:space="preserve"> </w:t>
      </w:r>
      <w:r>
        <w:t>and the</w:t>
      </w:r>
      <w:r w:rsidRPr="00CF1D6C">
        <w:t xml:space="preserve"> continuation of </w:t>
      </w:r>
      <w:r>
        <w:t xml:space="preserve">those </w:t>
      </w:r>
      <w:r w:rsidRPr="00CF1D6C">
        <w:t xml:space="preserve">benefits after major </w:t>
      </w:r>
      <w:r>
        <w:t xml:space="preserve">transformation </w:t>
      </w:r>
      <w:r w:rsidRPr="00CF1D6C">
        <w:t>assistance cease</w:t>
      </w:r>
      <w:r>
        <w:t>s</w:t>
      </w:r>
    </w:p>
    <w:p w14:paraId="7A0D9F73" w14:textId="77777777" w:rsidR="00801172" w:rsidRDefault="00801172" w:rsidP="000740D3">
      <w:pPr>
        <w:pStyle w:val="ListParagraph"/>
        <w:tabs>
          <w:tab w:val="left" w:pos="641"/>
        </w:tabs>
        <w:ind w:left="0" w:right="530"/>
        <w:jc w:val="both"/>
        <w:rPr>
          <w:sz w:val="24"/>
          <w:szCs w:val="24"/>
        </w:rPr>
      </w:pPr>
    </w:p>
    <w:p w14:paraId="048F8391" w14:textId="0F69D665" w:rsidR="008C52BE" w:rsidRDefault="008C52BE" w:rsidP="008C52BE">
      <w:pPr>
        <w:pStyle w:val="ListParagraph"/>
        <w:tabs>
          <w:tab w:val="left" w:pos="641"/>
        </w:tabs>
        <w:ind w:left="0" w:right="530"/>
        <w:jc w:val="both"/>
        <w:rPr>
          <w:sz w:val="24"/>
          <w:szCs w:val="24"/>
        </w:rPr>
      </w:pPr>
      <w:r>
        <w:rPr>
          <w:sz w:val="24"/>
          <w:szCs w:val="24"/>
        </w:rPr>
        <w:t>5.1.</w:t>
      </w:r>
      <w:r w:rsidR="00217A13">
        <w:rPr>
          <w:sz w:val="24"/>
          <w:szCs w:val="24"/>
        </w:rPr>
        <w:t>1</w:t>
      </w:r>
      <w:r>
        <w:rPr>
          <w:sz w:val="24"/>
          <w:szCs w:val="24"/>
        </w:rPr>
        <w:t xml:space="preserve">.1 </w:t>
      </w:r>
      <w:r w:rsidRPr="00B97A20">
        <w:rPr>
          <w:sz w:val="24"/>
          <w:szCs w:val="24"/>
        </w:rPr>
        <w:t xml:space="preserve">The Government will evaluate an Offerors </w:t>
      </w:r>
      <w:r w:rsidR="00217A13">
        <w:rPr>
          <w:sz w:val="24"/>
          <w:szCs w:val="24"/>
        </w:rPr>
        <w:t>Sc</w:t>
      </w:r>
      <w:r w:rsidR="009C5BB4">
        <w:rPr>
          <w:sz w:val="24"/>
          <w:szCs w:val="24"/>
        </w:rPr>
        <w:t xml:space="preserve">enario </w:t>
      </w:r>
      <w:r w:rsidR="00925827">
        <w:rPr>
          <w:sz w:val="24"/>
          <w:szCs w:val="24"/>
        </w:rPr>
        <w:t>responses</w:t>
      </w:r>
      <w:r w:rsidR="000E024D">
        <w:rPr>
          <w:sz w:val="24"/>
          <w:szCs w:val="24"/>
        </w:rPr>
        <w:t xml:space="preserve"> and contractor proposed PWS’</w:t>
      </w:r>
      <w:r w:rsidRPr="00B97A20">
        <w:rPr>
          <w:sz w:val="24"/>
          <w:szCs w:val="24"/>
        </w:rPr>
        <w:t xml:space="preserve"> and judge it as Acceptable when the Government is persuaded </w:t>
      </w:r>
      <w:r>
        <w:rPr>
          <w:sz w:val="24"/>
          <w:szCs w:val="24"/>
        </w:rPr>
        <w:t xml:space="preserve">that </w:t>
      </w:r>
      <w:r w:rsidRPr="00B97A20">
        <w:rPr>
          <w:sz w:val="24"/>
          <w:szCs w:val="24"/>
        </w:rPr>
        <w:t>the O</w:t>
      </w:r>
      <w:r>
        <w:rPr>
          <w:sz w:val="24"/>
          <w:szCs w:val="24"/>
        </w:rPr>
        <w:t xml:space="preserve">fferor proposal is considered exceptional. </w:t>
      </w:r>
      <w:r w:rsidRPr="00B97A20">
        <w:rPr>
          <w:sz w:val="24"/>
          <w:szCs w:val="24"/>
        </w:rPr>
        <w:t xml:space="preserve"> </w:t>
      </w:r>
    </w:p>
    <w:p w14:paraId="72757E00" w14:textId="77777777" w:rsidR="00801172" w:rsidRDefault="00801172" w:rsidP="000740D3">
      <w:pPr>
        <w:pStyle w:val="ListParagraph"/>
        <w:tabs>
          <w:tab w:val="left" w:pos="641"/>
        </w:tabs>
        <w:ind w:left="0" w:right="530"/>
        <w:jc w:val="both"/>
        <w:rPr>
          <w:sz w:val="24"/>
          <w:szCs w:val="24"/>
        </w:rPr>
      </w:pPr>
    </w:p>
    <w:p w14:paraId="77A9B1F3" w14:textId="77777777" w:rsidR="00801172" w:rsidRDefault="00801172" w:rsidP="000740D3">
      <w:pPr>
        <w:pStyle w:val="ListParagraph"/>
        <w:tabs>
          <w:tab w:val="left" w:pos="641"/>
        </w:tabs>
        <w:ind w:left="0" w:right="530"/>
        <w:jc w:val="both"/>
        <w:rPr>
          <w:sz w:val="24"/>
          <w:szCs w:val="24"/>
        </w:rPr>
      </w:pPr>
    </w:p>
    <w:p w14:paraId="69F8D107" w14:textId="452E5ECF" w:rsidR="000740D3" w:rsidRPr="00182754" w:rsidRDefault="000740D3" w:rsidP="000740D3">
      <w:pPr>
        <w:pStyle w:val="ListParagraph"/>
        <w:tabs>
          <w:tab w:val="left" w:pos="641"/>
        </w:tabs>
        <w:ind w:left="0" w:right="530"/>
        <w:jc w:val="both"/>
        <w:rPr>
          <w:sz w:val="24"/>
          <w:szCs w:val="24"/>
        </w:rPr>
      </w:pPr>
      <w:r w:rsidRPr="00182754">
        <w:rPr>
          <w:sz w:val="24"/>
          <w:szCs w:val="24"/>
        </w:rPr>
        <w:t xml:space="preserve">Subfactor </w:t>
      </w:r>
      <w:r w:rsidR="009C5BB4">
        <w:rPr>
          <w:sz w:val="24"/>
          <w:szCs w:val="24"/>
        </w:rPr>
        <w:t>1</w:t>
      </w:r>
      <w:r w:rsidRPr="00182754">
        <w:rPr>
          <w:sz w:val="24"/>
          <w:szCs w:val="24"/>
        </w:rPr>
        <w:t xml:space="preserve"> will be rated based on the table below:</w:t>
      </w:r>
    </w:p>
    <w:p w14:paraId="0977E658" w14:textId="77777777" w:rsidR="000740D3" w:rsidRPr="00182754" w:rsidRDefault="000740D3" w:rsidP="000740D3">
      <w:pPr>
        <w:pStyle w:val="ListParagraph"/>
        <w:tabs>
          <w:tab w:val="left" w:pos="641"/>
        </w:tabs>
        <w:ind w:right="530"/>
        <w:jc w:val="both"/>
        <w:rPr>
          <w:sz w:val="24"/>
          <w:szCs w:val="24"/>
        </w:rPr>
      </w:pPr>
    </w:p>
    <w:p w14:paraId="57CC678E" w14:textId="0223E3DD" w:rsidR="000740D3" w:rsidRPr="0039209E" w:rsidRDefault="000740D3" w:rsidP="000740D3">
      <w:pPr>
        <w:pStyle w:val="ListParagraph"/>
        <w:tabs>
          <w:tab w:val="left" w:pos="641"/>
        </w:tabs>
        <w:ind w:left="0" w:right="530"/>
        <w:jc w:val="both"/>
        <w:rPr>
          <w:sz w:val="20"/>
          <w:szCs w:val="20"/>
        </w:rPr>
      </w:pPr>
      <w:r>
        <w:rPr>
          <w:sz w:val="20"/>
          <w:szCs w:val="20"/>
        </w:rPr>
        <w:t xml:space="preserve">Subfactor </w:t>
      </w:r>
      <w:r w:rsidR="00AC551C">
        <w:rPr>
          <w:sz w:val="20"/>
          <w:szCs w:val="20"/>
        </w:rPr>
        <w:t>1</w:t>
      </w:r>
      <w:r w:rsidRPr="0039209E">
        <w:rPr>
          <w:sz w:val="20"/>
          <w:szCs w:val="20"/>
        </w:rPr>
        <w:t xml:space="preserve"> – Scenario </w:t>
      </w:r>
      <w:r w:rsidR="00FC5E53" w:rsidRPr="00A4273A">
        <w:rPr>
          <w:sz w:val="20"/>
          <w:szCs w:val="20"/>
        </w:rPr>
        <w:t>Response</w:t>
      </w:r>
      <w:r w:rsidRPr="00A4273A">
        <w:rPr>
          <w:sz w:val="20"/>
          <w:szCs w:val="20"/>
        </w:rPr>
        <w:t xml:space="preserve"> (Table </w:t>
      </w:r>
      <w:r w:rsidR="00A4273A" w:rsidRPr="00A4273A">
        <w:rPr>
          <w:sz w:val="20"/>
          <w:szCs w:val="20"/>
        </w:rPr>
        <w:t>2</w:t>
      </w:r>
      <w:r w:rsidRPr="00A4273A">
        <w:rPr>
          <w:sz w:val="20"/>
          <w:szCs w:val="20"/>
        </w:rPr>
        <w:t>)</w:t>
      </w: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80"/>
        <w:gridCol w:w="7187"/>
      </w:tblGrid>
      <w:tr w:rsidR="000740D3" w:rsidRPr="00182754" w14:paraId="6B69280F" w14:textId="77777777" w:rsidTr="0077043D">
        <w:trPr>
          <w:trHeight w:hRule="exact" w:val="288"/>
        </w:trPr>
        <w:tc>
          <w:tcPr>
            <w:tcW w:w="2180" w:type="dxa"/>
          </w:tcPr>
          <w:p w14:paraId="57AD8528" w14:textId="77777777" w:rsidR="000740D3" w:rsidRPr="00182754" w:rsidRDefault="000740D3" w:rsidP="0077043D">
            <w:pPr>
              <w:pStyle w:val="TableParagraph"/>
              <w:spacing w:line="268" w:lineRule="exact"/>
              <w:rPr>
                <w:b/>
                <w:sz w:val="24"/>
                <w:szCs w:val="24"/>
              </w:rPr>
            </w:pPr>
            <w:r w:rsidRPr="00182754">
              <w:rPr>
                <w:b/>
                <w:sz w:val="24"/>
                <w:szCs w:val="24"/>
              </w:rPr>
              <w:t>Adjectival Rating</w:t>
            </w:r>
          </w:p>
        </w:tc>
        <w:tc>
          <w:tcPr>
            <w:tcW w:w="7187" w:type="dxa"/>
          </w:tcPr>
          <w:p w14:paraId="36DA2FD1" w14:textId="77777777" w:rsidR="000740D3" w:rsidRPr="00182754" w:rsidRDefault="000740D3" w:rsidP="0077043D">
            <w:pPr>
              <w:pStyle w:val="TableParagraph"/>
              <w:spacing w:line="268" w:lineRule="exact"/>
              <w:rPr>
                <w:b/>
                <w:sz w:val="24"/>
                <w:szCs w:val="24"/>
              </w:rPr>
            </w:pPr>
            <w:r w:rsidRPr="00182754">
              <w:rPr>
                <w:b/>
                <w:sz w:val="24"/>
                <w:szCs w:val="24"/>
              </w:rPr>
              <w:t>Description</w:t>
            </w:r>
          </w:p>
        </w:tc>
      </w:tr>
      <w:tr w:rsidR="00E9295F" w:rsidRPr="00182754" w14:paraId="2C8087DD" w14:textId="77777777" w:rsidTr="00B6759B">
        <w:trPr>
          <w:trHeight w:hRule="exact" w:val="2001"/>
        </w:trPr>
        <w:tc>
          <w:tcPr>
            <w:tcW w:w="2180" w:type="dxa"/>
          </w:tcPr>
          <w:p w14:paraId="3C32BE10" w14:textId="77777777" w:rsidR="00E9295F" w:rsidRPr="00E9295F" w:rsidRDefault="00E9295F" w:rsidP="00E9295F">
            <w:pPr>
              <w:pStyle w:val="TableParagraph"/>
              <w:ind w:right="405"/>
              <w:rPr>
                <w:sz w:val="24"/>
                <w:szCs w:val="24"/>
              </w:rPr>
            </w:pPr>
            <w:r w:rsidRPr="00E9295F">
              <w:rPr>
                <w:sz w:val="24"/>
                <w:szCs w:val="24"/>
              </w:rPr>
              <w:t>Acceptable</w:t>
            </w:r>
          </w:p>
        </w:tc>
        <w:tc>
          <w:tcPr>
            <w:tcW w:w="7187" w:type="dxa"/>
            <w:tcBorders>
              <w:top w:val="single" w:sz="8" w:space="0" w:color="000000"/>
              <w:left w:val="single" w:sz="8" w:space="0" w:color="000000"/>
              <w:bottom w:val="single" w:sz="8" w:space="0" w:color="000000"/>
              <w:right w:val="single" w:sz="8" w:space="0" w:color="000000"/>
            </w:tcBorders>
            <w:shd w:val="clear" w:color="auto" w:fill="auto"/>
          </w:tcPr>
          <w:p w14:paraId="01B233F9" w14:textId="3BE60E60" w:rsidR="00E9295F" w:rsidRPr="00E9295F" w:rsidRDefault="00E9295F" w:rsidP="00E9295F">
            <w:pPr>
              <w:pStyle w:val="TableParagraph"/>
              <w:ind w:right="487"/>
              <w:rPr>
                <w:sz w:val="24"/>
                <w:szCs w:val="24"/>
              </w:rPr>
            </w:pPr>
            <w:r w:rsidRPr="00E9295F">
              <w:rPr>
                <w:rFonts w:eastAsiaTheme="minorEastAsia"/>
                <w:color w:val="000000" w:themeColor="text1"/>
                <w:kern w:val="24"/>
                <w:sz w:val="24"/>
                <w:szCs w:val="24"/>
              </w:rPr>
              <w:t>Proposal indicates a</w:t>
            </w:r>
            <w:r w:rsidR="00D24D49">
              <w:rPr>
                <w:rFonts w:eastAsiaTheme="minorEastAsia"/>
                <w:color w:val="000000" w:themeColor="text1"/>
                <w:kern w:val="24"/>
                <w:sz w:val="24"/>
                <w:szCs w:val="24"/>
              </w:rPr>
              <w:t xml:space="preserve">n exceptional </w:t>
            </w:r>
            <w:r w:rsidRPr="00E9295F">
              <w:rPr>
                <w:rFonts w:eastAsiaTheme="minorEastAsia"/>
                <w:color w:val="000000" w:themeColor="text1"/>
                <w:kern w:val="24"/>
                <w:sz w:val="24"/>
                <w:szCs w:val="24"/>
              </w:rPr>
              <w:t>approach</w:t>
            </w:r>
            <w:r w:rsidR="00B644FA">
              <w:rPr>
                <w:rFonts w:eastAsiaTheme="minorEastAsia"/>
                <w:color w:val="000000" w:themeColor="text1"/>
                <w:kern w:val="24"/>
                <w:sz w:val="24"/>
                <w:szCs w:val="24"/>
              </w:rPr>
              <w:t xml:space="preserve"> to meet </w:t>
            </w:r>
            <w:r w:rsidRPr="00E9295F">
              <w:rPr>
                <w:rFonts w:eastAsiaTheme="minorEastAsia"/>
                <w:color w:val="000000" w:themeColor="text1"/>
                <w:kern w:val="24"/>
                <w:sz w:val="24"/>
                <w:szCs w:val="24"/>
              </w:rPr>
              <w:t xml:space="preserve">the requirements to address </w:t>
            </w:r>
            <w:r w:rsidR="002B4A2D">
              <w:rPr>
                <w:sz w:val="24"/>
                <w:szCs w:val="24"/>
              </w:rPr>
              <w:t xml:space="preserve">realism, </w:t>
            </w:r>
            <w:r w:rsidR="002B4A2D" w:rsidRPr="00AD53BB">
              <w:rPr>
                <w:sz w:val="24"/>
                <w:szCs w:val="24"/>
              </w:rPr>
              <w:t xml:space="preserve">understanding, effectiveness, sustainability, </w:t>
            </w:r>
            <w:r w:rsidR="002B4A2D">
              <w:rPr>
                <w:sz w:val="24"/>
                <w:szCs w:val="24"/>
              </w:rPr>
              <w:t>and risk</w:t>
            </w:r>
            <w:r w:rsidRPr="00E9295F">
              <w:rPr>
                <w:rFonts w:eastAsiaTheme="minorEastAsia"/>
                <w:color w:val="000000" w:themeColor="text1"/>
                <w:kern w:val="24"/>
                <w:sz w:val="24"/>
                <w:szCs w:val="24"/>
              </w:rPr>
              <w:t>.  The proposed scenario</w:t>
            </w:r>
            <w:r w:rsidR="00B90230">
              <w:rPr>
                <w:rFonts w:eastAsiaTheme="minorEastAsia"/>
                <w:color w:val="000000" w:themeColor="text1"/>
                <w:kern w:val="24"/>
                <w:sz w:val="24"/>
                <w:szCs w:val="24"/>
              </w:rPr>
              <w:t xml:space="preserve"> responses</w:t>
            </w:r>
            <w:r w:rsidRPr="00E9295F">
              <w:rPr>
                <w:rFonts w:eastAsiaTheme="minorEastAsia"/>
                <w:color w:val="000000" w:themeColor="text1"/>
                <w:kern w:val="24"/>
                <w:sz w:val="24"/>
                <w:szCs w:val="24"/>
              </w:rPr>
              <w:t xml:space="preserve"> shall have no more than two (2) weaknesses and contains at least five (5) strengths (in totality of both scenario responses), that in the Government’s assessment combined to successfully present a highly advantageous solution </w:t>
            </w:r>
          </w:p>
        </w:tc>
      </w:tr>
      <w:tr w:rsidR="00E9295F" w:rsidRPr="00182754" w14:paraId="54714A40" w14:textId="77777777" w:rsidTr="00925827">
        <w:trPr>
          <w:trHeight w:hRule="exact" w:val="1533"/>
        </w:trPr>
        <w:tc>
          <w:tcPr>
            <w:tcW w:w="2180" w:type="dxa"/>
          </w:tcPr>
          <w:p w14:paraId="59E8E9CD" w14:textId="77777777" w:rsidR="00E9295F" w:rsidRPr="00E9295F" w:rsidRDefault="00E9295F" w:rsidP="00E9295F">
            <w:pPr>
              <w:pStyle w:val="TableParagraph"/>
              <w:ind w:right="258"/>
              <w:rPr>
                <w:sz w:val="24"/>
                <w:szCs w:val="24"/>
              </w:rPr>
            </w:pPr>
            <w:r w:rsidRPr="00E9295F">
              <w:rPr>
                <w:sz w:val="24"/>
                <w:szCs w:val="24"/>
              </w:rPr>
              <w:lastRenderedPageBreak/>
              <w:t>Unacceptable</w:t>
            </w:r>
          </w:p>
        </w:tc>
        <w:tc>
          <w:tcPr>
            <w:tcW w:w="7187" w:type="dxa"/>
            <w:tcBorders>
              <w:top w:val="single" w:sz="8" w:space="0" w:color="000000"/>
              <w:left w:val="single" w:sz="8" w:space="0" w:color="000000"/>
              <w:bottom w:val="single" w:sz="8" w:space="0" w:color="000000"/>
              <w:right w:val="single" w:sz="8" w:space="0" w:color="000000"/>
            </w:tcBorders>
            <w:shd w:val="clear" w:color="auto" w:fill="auto"/>
          </w:tcPr>
          <w:p w14:paraId="575E3703" w14:textId="0C6CF541" w:rsidR="00E9295F" w:rsidRPr="00E9295F" w:rsidRDefault="00E9295F" w:rsidP="00E9295F">
            <w:pPr>
              <w:pStyle w:val="TableParagraph"/>
              <w:ind w:right="1087"/>
              <w:jc w:val="both"/>
              <w:rPr>
                <w:sz w:val="24"/>
                <w:szCs w:val="24"/>
              </w:rPr>
            </w:pPr>
            <w:r w:rsidRPr="00E9295F">
              <w:rPr>
                <w:rFonts w:eastAsiaTheme="minorEastAsia"/>
                <w:color w:val="000000" w:themeColor="text1"/>
                <w:kern w:val="24"/>
                <w:sz w:val="24"/>
                <w:szCs w:val="24"/>
              </w:rPr>
              <w:t xml:space="preserve">Proposal does not demonstrate an exceptional approach </w:t>
            </w:r>
            <w:r w:rsidR="004621DC">
              <w:rPr>
                <w:rFonts w:eastAsiaTheme="minorEastAsia"/>
                <w:color w:val="000000" w:themeColor="text1"/>
                <w:kern w:val="24"/>
                <w:sz w:val="24"/>
                <w:szCs w:val="24"/>
              </w:rPr>
              <w:t xml:space="preserve">to meet </w:t>
            </w:r>
            <w:r w:rsidRPr="00E9295F">
              <w:rPr>
                <w:rFonts w:eastAsiaTheme="minorEastAsia"/>
                <w:color w:val="000000" w:themeColor="text1"/>
                <w:kern w:val="24"/>
                <w:sz w:val="24"/>
                <w:szCs w:val="24"/>
              </w:rPr>
              <w:t xml:space="preserve"> the requirement to address </w:t>
            </w:r>
            <w:r w:rsidR="00883E56">
              <w:rPr>
                <w:sz w:val="24"/>
                <w:szCs w:val="24"/>
              </w:rPr>
              <w:t xml:space="preserve">realism, </w:t>
            </w:r>
            <w:r w:rsidR="00883E56" w:rsidRPr="00AD53BB">
              <w:rPr>
                <w:sz w:val="24"/>
                <w:szCs w:val="24"/>
              </w:rPr>
              <w:t xml:space="preserve">understanding, effectiveness, sustainability, </w:t>
            </w:r>
            <w:r w:rsidR="00883E56">
              <w:rPr>
                <w:sz w:val="24"/>
                <w:szCs w:val="24"/>
              </w:rPr>
              <w:t>and risk</w:t>
            </w:r>
            <w:r w:rsidRPr="00E9295F">
              <w:rPr>
                <w:rFonts w:eastAsiaTheme="minorEastAsia"/>
                <w:color w:val="000000" w:themeColor="text1"/>
                <w:kern w:val="24"/>
                <w:sz w:val="24"/>
                <w:szCs w:val="24"/>
              </w:rPr>
              <w:t xml:space="preserve">.  The proposal has more than two (2) weaknesses and less than five (5) strengths, that the Government considers a risk to successful </w:t>
            </w:r>
            <w:r>
              <w:rPr>
                <w:rFonts w:eastAsiaTheme="minorEastAsia"/>
                <w:color w:val="000000" w:themeColor="text1"/>
                <w:kern w:val="24"/>
                <w:sz w:val="24"/>
                <w:szCs w:val="24"/>
              </w:rPr>
              <w:t>performance.</w:t>
            </w:r>
          </w:p>
        </w:tc>
      </w:tr>
    </w:tbl>
    <w:p w14:paraId="141F434F" w14:textId="77777777" w:rsidR="000740D3" w:rsidRDefault="000740D3" w:rsidP="00A7432A">
      <w:pPr>
        <w:pStyle w:val="BodyText"/>
        <w:spacing w:before="8"/>
        <w:jc w:val="both"/>
        <w:rPr>
          <w:sz w:val="20"/>
          <w:szCs w:val="20"/>
        </w:rPr>
      </w:pPr>
    </w:p>
    <w:p w14:paraId="429DF15D" w14:textId="77777777" w:rsidR="000740D3" w:rsidRDefault="000740D3" w:rsidP="00A7432A">
      <w:pPr>
        <w:pStyle w:val="BodyText"/>
        <w:spacing w:before="8"/>
        <w:jc w:val="both"/>
        <w:rPr>
          <w:sz w:val="20"/>
          <w:szCs w:val="20"/>
        </w:rPr>
      </w:pPr>
    </w:p>
    <w:p w14:paraId="3AD67F43" w14:textId="77777777" w:rsidR="00D3345F" w:rsidRDefault="00D3345F" w:rsidP="00283648">
      <w:pPr>
        <w:pStyle w:val="Heading1"/>
        <w:spacing w:line="274" w:lineRule="exact"/>
        <w:ind w:left="0" w:firstLine="0"/>
        <w:jc w:val="both"/>
        <w:rPr>
          <w:b w:val="0"/>
        </w:rPr>
      </w:pPr>
    </w:p>
    <w:p w14:paraId="1DD6D936" w14:textId="70769B4F" w:rsidR="00D3345F" w:rsidRPr="008423B7" w:rsidRDefault="00D3345F" w:rsidP="00D3345F">
      <w:pPr>
        <w:pStyle w:val="Heading1"/>
        <w:ind w:left="0" w:firstLine="0"/>
        <w:jc w:val="both"/>
        <w:rPr>
          <w:bCs w:val="0"/>
        </w:rPr>
      </w:pPr>
      <w:r w:rsidRPr="008423B7">
        <w:rPr>
          <w:bCs w:val="0"/>
        </w:rPr>
        <w:t>5.1.</w:t>
      </w:r>
      <w:r w:rsidR="00F72F47" w:rsidRPr="008423B7">
        <w:rPr>
          <w:bCs w:val="0"/>
        </w:rPr>
        <w:t>3</w:t>
      </w:r>
      <w:r w:rsidRPr="008423B7">
        <w:rPr>
          <w:bCs w:val="0"/>
        </w:rPr>
        <w:t xml:space="preserve">  Subfactor </w:t>
      </w:r>
      <w:r w:rsidR="0044731C" w:rsidRPr="0044731C">
        <w:rPr>
          <w:bCs w:val="0"/>
          <w:color w:val="FF0000"/>
        </w:rPr>
        <w:t>2</w:t>
      </w:r>
      <w:r w:rsidRPr="0044731C">
        <w:rPr>
          <w:bCs w:val="0"/>
          <w:color w:val="FF0000"/>
        </w:rPr>
        <w:t>:</w:t>
      </w:r>
      <w:r w:rsidRPr="008423B7">
        <w:rPr>
          <w:bCs w:val="0"/>
        </w:rPr>
        <w:t xml:space="preserve"> Small Business Participation Commitment Document</w:t>
      </w:r>
      <w:r w:rsidRPr="008423B7">
        <w:rPr>
          <w:bCs w:val="0"/>
          <w:spacing w:val="-10"/>
        </w:rPr>
        <w:t xml:space="preserve"> </w:t>
      </w:r>
      <w:r w:rsidRPr="008423B7">
        <w:rPr>
          <w:bCs w:val="0"/>
        </w:rPr>
        <w:t>(SBPCD) – (Applicable to all Offerors)</w:t>
      </w:r>
    </w:p>
    <w:p w14:paraId="130E7C46" w14:textId="77777777" w:rsidR="008423B7" w:rsidRPr="00811675" w:rsidRDefault="008423B7" w:rsidP="00D3345F">
      <w:pPr>
        <w:pStyle w:val="Heading1"/>
        <w:ind w:left="0" w:firstLine="0"/>
        <w:jc w:val="both"/>
        <w:rPr>
          <w:b w:val="0"/>
        </w:rPr>
      </w:pPr>
    </w:p>
    <w:p w14:paraId="5657A21D" w14:textId="282F339A" w:rsidR="00D3345F" w:rsidRPr="00182754" w:rsidRDefault="00D3345F" w:rsidP="00D3345F">
      <w:pPr>
        <w:pStyle w:val="BodyText"/>
        <w:spacing w:before="4"/>
        <w:jc w:val="both"/>
      </w:pPr>
      <w:r>
        <w:t>T</w:t>
      </w:r>
      <w:r w:rsidRPr="00182754">
        <w:t xml:space="preserve">he </w:t>
      </w:r>
      <w:r>
        <w:t xml:space="preserve">Government </w:t>
      </w:r>
      <w:r w:rsidRPr="00182754">
        <w:t xml:space="preserve">will evaluate the extent of the </w:t>
      </w:r>
      <w:r>
        <w:t xml:space="preserve">Offerors </w:t>
      </w:r>
      <w:r w:rsidRPr="00182754">
        <w:t xml:space="preserve">commitment </w:t>
      </w:r>
      <w:r>
        <w:t>stated in the SB</w:t>
      </w:r>
      <w:r w:rsidR="00905D19">
        <w:t>P</w:t>
      </w:r>
      <w:r>
        <w:t xml:space="preserve">CD </w:t>
      </w:r>
      <w:r w:rsidRPr="00182754">
        <w:t>to use small business</w:t>
      </w:r>
      <w:r>
        <w:t xml:space="preserve"> concerns, service-disabled veteran-owned small business concerns, HUBZone small business concerns, small disadvantaged business concerns, women-owned small business concerns</w:t>
      </w:r>
      <w:r w:rsidRPr="00182754" w:rsidDel="00D8654D">
        <w:t xml:space="preserve"> </w:t>
      </w:r>
      <w:r>
        <w:t xml:space="preserve">(as defined in the clause at FAR 52.219-8), and non-traditional small businesses </w:t>
      </w:r>
      <w:r w:rsidRPr="00182754">
        <w:t>as subcontractors</w:t>
      </w:r>
      <w:r w:rsidR="00905D19">
        <w:t xml:space="preserve"> as defined in Attachment 1</w:t>
      </w:r>
      <w:r w:rsidRPr="00182754">
        <w:t xml:space="preserve">.  The Government will also </w:t>
      </w:r>
      <w:r>
        <w:t>evaluate the SBCD</w:t>
      </w:r>
      <w:r w:rsidRPr="00182754">
        <w:t xml:space="preserve"> for the following:</w:t>
      </w:r>
    </w:p>
    <w:p w14:paraId="7AF326E5" w14:textId="35B19E61" w:rsidR="00D3345F" w:rsidRPr="00182754" w:rsidRDefault="00135C22" w:rsidP="00D3345F">
      <w:pPr>
        <w:pStyle w:val="BodyText"/>
        <w:numPr>
          <w:ilvl w:val="0"/>
          <w:numId w:val="16"/>
        </w:numPr>
        <w:spacing w:before="4"/>
        <w:jc w:val="both"/>
      </w:pPr>
      <w:r>
        <w:t>H</w:t>
      </w:r>
      <w:r w:rsidR="00D3345F">
        <w:t xml:space="preserve">ow it will meet the </w:t>
      </w:r>
      <w:r>
        <w:t xml:space="preserve">small business </w:t>
      </w:r>
      <w:r w:rsidR="00D3345F">
        <w:t>goals</w:t>
      </w:r>
    </w:p>
    <w:p w14:paraId="5D2822C4" w14:textId="77777777" w:rsidR="00D3345F" w:rsidRPr="00182754" w:rsidRDefault="00D3345F" w:rsidP="00D3345F">
      <w:pPr>
        <w:pStyle w:val="BodyText"/>
        <w:numPr>
          <w:ilvl w:val="0"/>
          <w:numId w:val="16"/>
        </w:numPr>
        <w:spacing w:before="4"/>
        <w:jc w:val="both"/>
      </w:pPr>
      <w:r>
        <w:t xml:space="preserve">How it will utilize Small Businesses and Non-traditional Small Businesses (NTSB).  </w:t>
      </w:r>
    </w:p>
    <w:p w14:paraId="67CA918B" w14:textId="677C55F6" w:rsidR="00D3345F" w:rsidRDefault="00D3345F" w:rsidP="00D3345F">
      <w:pPr>
        <w:pStyle w:val="BodyText"/>
        <w:numPr>
          <w:ilvl w:val="0"/>
          <w:numId w:val="17"/>
        </w:numPr>
        <w:spacing w:before="4"/>
        <w:jc w:val="both"/>
      </w:pPr>
      <w:r w:rsidRPr="00182754">
        <w:t xml:space="preserve">The Government will evaluate the </w:t>
      </w:r>
      <w:r>
        <w:t>Offeror</w:t>
      </w:r>
      <w:r w:rsidRPr="00182754">
        <w:t>s detailed plan to incorporate</w:t>
      </w:r>
      <w:r>
        <w:t xml:space="preserve"> the use of NT</w:t>
      </w:r>
      <w:r w:rsidRPr="00182754">
        <w:t>SB</w:t>
      </w:r>
      <w:r>
        <w:t>s</w:t>
      </w:r>
      <w:r w:rsidRPr="00182754">
        <w:t xml:space="preserve"> and its plan to assist the </w:t>
      </w:r>
      <w:r w:rsidR="00575F5A">
        <w:t xml:space="preserve">SBs and </w:t>
      </w:r>
      <w:r>
        <w:t>NT</w:t>
      </w:r>
      <w:r w:rsidRPr="00182754">
        <w:t>SB</w:t>
      </w:r>
      <w:r>
        <w:t>s</w:t>
      </w:r>
      <w:r w:rsidRPr="00182754">
        <w:t xml:space="preserve"> to become Government contractors (SAM registration, RFP process, intricacies of Government contracting, applicable regulations, points of contact, etc.)</w:t>
      </w:r>
    </w:p>
    <w:p w14:paraId="613E6141" w14:textId="77777777" w:rsidR="00D3345F" w:rsidRDefault="00D3345F" w:rsidP="00D3345F">
      <w:pPr>
        <w:pStyle w:val="BodyText"/>
        <w:numPr>
          <w:ilvl w:val="0"/>
          <w:numId w:val="17"/>
        </w:numPr>
        <w:spacing w:before="4"/>
        <w:jc w:val="both"/>
      </w:pPr>
      <w:r>
        <w:t>How it will allocate tasks to SBs and NTSBs;</w:t>
      </w:r>
    </w:p>
    <w:p w14:paraId="71704942" w14:textId="38D57E79" w:rsidR="006123FF" w:rsidRPr="0000417A" w:rsidRDefault="006123FF" w:rsidP="00D3345F">
      <w:pPr>
        <w:pStyle w:val="BodyText"/>
        <w:numPr>
          <w:ilvl w:val="0"/>
          <w:numId w:val="17"/>
        </w:numPr>
        <w:spacing w:before="4"/>
        <w:jc w:val="both"/>
      </w:pPr>
      <w:r>
        <w:t xml:space="preserve">Plan to attract and utilize </w:t>
      </w:r>
      <w:r w:rsidR="00D02939">
        <w:t xml:space="preserve">a minimum of three (3) NTSBs during the full five (5) year </w:t>
      </w:r>
      <w:r w:rsidR="00D02939" w:rsidRPr="0000417A">
        <w:t>ordering period</w:t>
      </w:r>
    </w:p>
    <w:p w14:paraId="3125D9B3" w14:textId="3490F640" w:rsidR="00D3345F" w:rsidRPr="0000417A" w:rsidRDefault="00D3345F" w:rsidP="00D3345F">
      <w:pPr>
        <w:pStyle w:val="BodyText"/>
        <w:numPr>
          <w:ilvl w:val="0"/>
          <w:numId w:val="16"/>
        </w:numPr>
        <w:spacing w:before="4"/>
        <w:jc w:val="both"/>
      </w:pPr>
      <w:r w:rsidRPr="0000417A">
        <w:t xml:space="preserve">The realism of the proposal meeting the minimum goals referenced in paragraph 2.2.1.4 in Attachment 1. </w:t>
      </w:r>
    </w:p>
    <w:p w14:paraId="141D6EC3" w14:textId="77777777" w:rsidR="00D3345F" w:rsidRDefault="00D3345F" w:rsidP="00D3345F">
      <w:pPr>
        <w:pStyle w:val="BodyText"/>
        <w:spacing w:before="4"/>
        <w:jc w:val="both"/>
      </w:pPr>
    </w:p>
    <w:p w14:paraId="482EF44C" w14:textId="04C8B85D" w:rsidR="00D3345F" w:rsidRDefault="00D3345F" w:rsidP="00D3345F">
      <w:pPr>
        <w:pStyle w:val="BodyText"/>
        <w:spacing w:before="4"/>
        <w:jc w:val="both"/>
      </w:pPr>
      <w:r>
        <w:t>5.1.</w:t>
      </w:r>
      <w:r w:rsidR="00F72F47">
        <w:t>3</w:t>
      </w:r>
      <w:r>
        <w:t>.1 The Government will evaluate an Offerors written Small Business Commitment Document (SB</w:t>
      </w:r>
      <w:r w:rsidR="00575F5A">
        <w:t>P</w:t>
      </w:r>
      <w:r>
        <w:t>CD) and judge it as Acceptable when the Government is persuaded the Offeror is committed to utilize small businesses and non-traditional small businesses (to include assisting non-traditional small businesses become Government contractors) to the maximum extent practicable.</w:t>
      </w:r>
    </w:p>
    <w:p w14:paraId="4C5EF00F" w14:textId="77777777" w:rsidR="00D3345F" w:rsidRDefault="00D3345F" w:rsidP="00D3345F">
      <w:pPr>
        <w:pStyle w:val="BodyText"/>
        <w:spacing w:before="4"/>
        <w:jc w:val="both"/>
      </w:pPr>
    </w:p>
    <w:p w14:paraId="712C513A" w14:textId="77777777" w:rsidR="00D3345F" w:rsidRPr="00182754" w:rsidRDefault="00D3345F" w:rsidP="00D3345F">
      <w:pPr>
        <w:pStyle w:val="BodyText"/>
        <w:ind w:right="268"/>
        <w:jc w:val="both"/>
      </w:pPr>
      <w:r>
        <w:t>The SBCD</w:t>
      </w:r>
      <w:r w:rsidRPr="00182754">
        <w:t xml:space="preserve"> will be rated based on the ratings in the table below: </w:t>
      </w:r>
    </w:p>
    <w:p w14:paraId="4C351FD8" w14:textId="77777777" w:rsidR="00D3345F" w:rsidRPr="00182754" w:rsidRDefault="00D3345F" w:rsidP="00D3345F">
      <w:pPr>
        <w:pStyle w:val="BodyText"/>
        <w:spacing w:before="4"/>
        <w:jc w:val="both"/>
      </w:pPr>
    </w:p>
    <w:p w14:paraId="2D139263" w14:textId="24CD0926" w:rsidR="00D3345F" w:rsidRPr="004951AD" w:rsidRDefault="00D3345F" w:rsidP="00D3345F">
      <w:pPr>
        <w:pStyle w:val="BodyText"/>
        <w:spacing w:before="4"/>
        <w:rPr>
          <w:sz w:val="20"/>
          <w:szCs w:val="20"/>
        </w:rPr>
      </w:pPr>
      <w:r w:rsidRPr="00465126">
        <w:rPr>
          <w:sz w:val="20"/>
          <w:szCs w:val="20"/>
        </w:rPr>
        <w:t xml:space="preserve">Subfactor </w:t>
      </w:r>
      <w:r w:rsidR="0044731C">
        <w:rPr>
          <w:sz w:val="20"/>
          <w:szCs w:val="20"/>
        </w:rPr>
        <w:t>2</w:t>
      </w:r>
      <w:r w:rsidRPr="00465126">
        <w:rPr>
          <w:sz w:val="20"/>
          <w:szCs w:val="20"/>
        </w:rPr>
        <w:t xml:space="preserve"> – SB</w:t>
      </w:r>
      <w:r w:rsidR="00215BDA" w:rsidRPr="00465126">
        <w:rPr>
          <w:sz w:val="20"/>
          <w:szCs w:val="20"/>
        </w:rPr>
        <w:t>P</w:t>
      </w:r>
      <w:r w:rsidRPr="00465126">
        <w:rPr>
          <w:sz w:val="20"/>
          <w:szCs w:val="20"/>
        </w:rPr>
        <w:t xml:space="preserve">CD Ratings (Table </w:t>
      </w:r>
      <w:r w:rsidR="00465126" w:rsidRPr="00465126">
        <w:rPr>
          <w:sz w:val="20"/>
          <w:szCs w:val="20"/>
        </w:rPr>
        <w:t>3</w:t>
      </w:r>
      <w:r w:rsidRPr="00465126">
        <w:rPr>
          <w:sz w:val="20"/>
          <w:szCs w:val="20"/>
        </w:rPr>
        <w:t>)</w:t>
      </w: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80"/>
        <w:gridCol w:w="7187"/>
      </w:tblGrid>
      <w:tr w:rsidR="00D3345F" w:rsidRPr="00182754" w14:paraId="3DD1DA98" w14:textId="77777777" w:rsidTr="00082EA7">
        <w:trPr>
          <w:trHeight w:hRule="exact" w:val="288"/>
        </w:trPr>
        <w:tc>
          <w:tcPr>
            <w:tcW w:w="2180" w:type="dxa"/>
          </w:tcPr>
          <w:p w14:paraId="62E3AF89" w14:textId="77777777" w:rsidR="00D3345F" w:rsidRPr="00182754" w:rsidRDefault="00D3345F" w:rsidP="00082EA7">
            <w:pPr>
              <w:pStyle w:val="TableParagraph"/>
              <w:spacing w:line="268" w:lineRule="exact"/>
              <w:rPr>
                <w:b/>
                <w:sz w:val="24"/>
                <w:szCs w:val="24"/>
              </w:rPr>
            </w:pPr>
            <w:r w:rsidRPr="00182754">
              <w:rPr>
                <w:b/>
                <w:sz w:val="24"/>
                <w:szCs w:val="24"/>
              </w:rPr>
              <w:t>Adjectival Rating</w:t>
            </w:r>
          </w:p>
        </w:tc>
        <w:tc>
          <w:tcPr>
            <w:tcW w:w="7187" w:type="dxa"/>
          </w:tcPr>
          <w:p w14:paraId="53D21739" w14:textId="77777777" w:rsidR="00D3345F" w:rsidRPr="00182754" w:rsidRDefault="00D3345F" w:rsidP="00082EA7">
            <w:pPr>
              <w:pStyle w:val="TableParagraph"/>
              <w:spacing w:line="268" w:lineRule="exact"/>
              <w:rPr>
                <w:b/>
                <w:sz w:val="24"/>
                <w:szCs w:val="24"/>
              </w:rPr>
            </w:pPr>
            <w:r w:rsidRPr="00182754">
              <w:rPr>
                <w:b/>
                <w:sz w:val="24"/>
                <w:szCs w:val="24"/>
              </w:rPr>
              <w:t>Description</w:t>
            </w:r>
          </w:p>
        </w:tc>
      </w:tr>
      <w:tr w:rsidR="00D3345F" w:rsidRPr="00182754" w14:paraId="7FEC7288" w14:textId="77777777" w:rsidTr="004A4F08">
        <w:trPr>
          <w:trHeight w:hRule="exact" w:val="632"/>
        </w:trPr>
        <w:tc>
          <w:tcPr>
            <w:tcW w:w="2180" w:type="dxa"/>
          </w:tcPr>
          <w:p w14:paraId="36BBE0D8" w14:textId="77777777" w:rsidR="00D3345F" w:rsidRPr="00182754" w:rsidRDefault="00D3345F" w:rsidP="00082EA7">
            <w:pPr>
              <w:pStyle w:val="TableParagraph"/>
              <w:ind w:right="405"/>
              <w:rPr>
                <w:sz w:val="24"/>
                <w:szCs w:val="24"/>
              </w:rPr>
            </w:pPr>
            <w:r>
              <w:rPr>
                <w:sz w:val="24"/>
                <w:szCs w:val="24"/>
              </w:rPr>
              <w:t>Acceptable</w:t>
            </w:r>
          </w:p>
        </w:tc>
        <w:tc>
          <w:tcPr>
            <w:tcW w:w="7187" w:type="dxa"/>
          </w:tcPr>
          <w:p w14:paraId="655AE662" w14:textId="77777777" w:rsidR="004A4F08" w:rsidRPr="004A4F08" w:rsidRDefault="004A4F08" w:rsidP="004A4F08">
            <w:pPr>
              <w:pStyle w:val="TableParagraph"/>
              <w:ind w:right="487"/>
              <w:rPr>
                <w:sz w:val="24"/>
                <w:szCs w:val="24"/>
              </w:rPr>
            </w:pPr>
            <w:r w:rsidRPr="004A4F08">
              <w:rPr>
                <w:sz w:val="24"/>
                <w:szCs w:val="24"/>
              </w:rPr>
              <w:t>Proposal meets the small business participation plan requirements of the solicitation</w:t>
            </w:r>
          </w:p>
          <w:p w14:paraId="60ADA053" w14:textId="7B040C5B" w:rsidR="00D3345F" w:rsidRPr="00182754" w:rsidRDefault="00D3345F" w:rsidP="00082EA7">
            <w:pPr>
              <w:pStyle w:val="TableParagraph"/>
              <w:ind w:right="487"/>
              <w:rPr>
                <w:sz w:val="24"/>
                <w:szCs w:val="24"/>
              </w:rPr>
            </w:pPr>
          </w:p>
        </w:tc>
      </w:tr>
      <w:tr w:rsidR="00D3345F" w:rsidRPr="00182754" w14:paraId="44EF74AD" w14:textId="77777777" w:rsidTr="004A4F08">
        <w:trPr>
          <w:trHeight w:hRule="exact" w:val="632"/>
        </w:trPr>
        <w:tc>
          <w:tcPr>
            <w:tcW w:w="2180" w:type="dxa"/>
          </w:tcPr>
          <w:p w14:paraId="2CF2B834" w14:textId="77777777" w:rsidR="00D3345F" w:rsidRPr="00182754" w:rsidRDefault="00D3345F" w:rsidP="00082EA7">
            <w:pPr>
              <w:pStyle w:val="TableParagraph"/>
              <w:ind w:right="258"/>
              <w:rPr>
                <w:sz w:val="24"/>
                <w:szCs w:val="24"/>
              </w:rPr>
            </w:pPr>
            <w:r>
              <w:rPr>
                <w:sz w:val="24"/>
                <w:szCs w:val="24"/>
              </w:rPr>
              <w:t>Unacceptable</w:t>
            </w:r>
          </w:p>
        </w:tc>
        <w:tc>
          <w:tcPr>
            <w:tcW w:w="7187" w:type="dxa"/>
          </w:tcPr>
          <w:p w14:paraId="73A95B1E" w14:textId="77777777" w:rsidR="004A4F08" w:rsidRPr="004A4F08" w:rsidRDefault="004A4F08" w:rsidP="004A4F08">
            <w:pPr>
              <w:pStyle w:val="TableParagraph"/>
              <w:ind w:right="1087"/>
              <w:jc w:val="both"/>
              <w:rPr>
                <w:sz w:val="24"/>
                <w:szCs w:val="24"/>
              </w:rPr>
            </w:pPr>
            <w:r w:rsidRPr="004A4F08">
              <w:rPr>
                <w:sz w:val="24"/>
                <w:szCs w:val="24"/>
              </w:rPr>
              <w:t>Proposal does not meet the small business participation plan requirements of the solicitation</w:t>
            </w:r>
          </w:p>
          <w:p w14:paraId="769172D6" w14:textId="3914F28A" w:rsidR="00D3345F" w:rsidRPr="00182754" w:rsidRDefault="00D3345F" w:rsidP="00082EA7">
            <w:pPr>
              <w:pStyle w:val="TableParagraph"/>
              <w:ind w:right="1087"/>
              <w:jc w:val="both"/>
              <w:rPr>
                <w:sz w:val="24"/>
                <w:szCs w:val="24"/>
              </w:rPr>
            </w:pPr>
          </w:p>
        </w:tc>
      </w:tr>
    </w:tbl>
    <w:p w14:paraId="315BF148" w14:textId="77777777" w:rsidR="00D3345F" w:rsidRDefault="00D3345F" w:rsidP="00D3345F">
      <w:pPr>
        <w:pStyle w:val="BodyText"/>
        <w:spacing w:before="4"/>
      </w:pPr>
    </w:p>
    <w:p w14:paraId="4970F245" w14:textId="77777777" w:rsidR="004E697A" w:rsidRDefault="004E697A" w:rsidP="00283648">
      <w:pPr>
        <w:pStyle w:val="Heading1"/>
        <w:spacing w:line="274" w:lineRule="exact"/>
        <w:ind w:left="0" w:firstLine="0"/>
        <w:jc w:val="both"/>
        <w:rPr>
          <w:b w:val="0"/>
        </w:rPr>
      </w:pPr>
    </w:p>
    <w:p w14:paraId="63CA91C1" w14:textId="2950E7B7" w:rsidR="00465126" w:rsidRDefault="00811675" w:rsidP="00283648">
      <w:pPr>
        <w:pStyle w:val="Heading1"/>
        <w:spacing w:line="274" w:lineRule="exact"/>
        <w:ind w:left="0" w:firstLine="0"/>
        <w:jc w:val="both"/>
        <w:rPr>
          <w:bCs w:val="0"/>
        </w:rPr>
      </w:pPr>
      <w:r w:rsidRPr="00465126">
        <w:rPr>
          <w:bCs w:val="0"/>
        </w:rPr>
        <w:t>5.1.</w:t>
      </w:r>
      <w:r w:rsidR="00F72F47" w:rsidRPr="00465126">
        <w:rPr>
          <w:bCs w:val="0"/>
        </w:rPr>
        <w:t>4</w:t>
      </w:r>
      <w:r w:rsidR="004951AD" w:rsidRPr="00465126">
        <w:rPr>
          <w:bCs w:val="0"/>
        </w:rPr>
        <w:t xml:space="preserve">  </w:t>
      </w:r>
      <w:r w:rsidRPr="00465126">
        <w:rPr>
          <w:bCs w:val="0"/>
        </w:rPr>
        <w:t xml:space="preserve">Subfactor </w:t>
      </w:r>
      <w:r w:rsidR="0044731C" w:rsidRPr="0044731C">
        <w:rPr>
          <w:bCs w:val="0"/>
          <w:color w:val="FF0000"/>
        </w:rPr>
        <w:t>3</w:t>
      </w:r>
      <w:r w:rsidR="00283648" w:rsidRPr="00465126">
        <w:rPr>
          <w:bCs w:val="0"/>
        </w:rPr>
        <w:t>: Management and Capacity Plan</w:t>
      </w:r>
    </w:p>
    <w:p w14:paraId="5A938631" w14:textId="77777777" w:rsidR="00465126" w:rsidRPr="00465126" w:rsidRDefault="00465126" w:rsidP="00283648">
      <w:pPr>
        <w:pStyle w:val="Heading1"/>
        <w:spacing w:line="274" w:lineRule="exact"/>
        <w:ind w:left="0" w:firstLine="0"/>
        <w:jc w:val="both"/>
        <w:rPr>
          <w:bCs w:val="0"/>
        </w:rPr>
      </w:pPr>
    </w:p>
    <w:p w14:paraId="4970F247" w14:textId="0465C712" w:rsidR="0015790E" w:rsidRDefault="0015790E" w:rsidP="0015790E">
      <w:pPr>
        <w:pStyle w:val="BodyText"/>
        <w:spacing w:before="4"/>
      </w:pPr>
      <w:r>
        <w:t xml:space="preserve">The Government will evaluate an Offerors </w:t>
      </w:r>
      <w:r w:rsidR="001A2925" w:rsidRPr="009D0094">
        <w:t xml:space="preserve">written </w:t>
      </w:r>
      <w:r>
        <w:t>Management and Capacity Plan and judge it as Acceptable when the Government is persuaded the Offeror can sufficiently handle the breadth of transformational tasks, anticipated volume of task orders</w:t>
      </w:r>
      <w:r w:rsidR="00E47D6D">
        <w:t>,</w:t>
      </w:r>
      <w:r>
        <w:t xml:space="preserve"> across multiple locations, with </w:t>
      </w:r>
      <w:r w:rsidR="00E47D6D">
        <w:t>minimal</w:t>
      </w:r>
      <w:r>
        <w:t xml:space="preserve"> risk to the Government.</w:t>
      </w:r>
    </w:p>
    <w:p w14:paraId="4970F248" w14:textId="77777777" w:rsidR="0015790E" w:rsidRPr="00182754" w:rsidRDefault="0015790E" w:rsidP="0015790E">
      <w:pPr>
        <w:pStyle w:val="BodyText"/>
        <w:spacing w:before="4"/>
      </w:pPr>
    </w:p>
    <w:p w14:paraId="4970F249" w14:textId="2A6D44E4" w:rsidR="0053697A" w:rsidRPr="00182754" w:rsidRDefault="0053697A" w:rsidP="0053697A">
      <w:pPr>
        <w:pStyle w:val="BodyText"/>
        <w:ind w:right="268"/>
        <w:jc w:val="both"/>
      </w:pPr>
      <w:r w:rsidRPr="00182754">
        <w:t xml:space="preserve">The Management and Capacity Plan will be rated based on the ratings in the table below: </w:t>
      </w:r>
    </w:p>
    <w:p w14:paraId="4970F24A" w14:textId="77777777" w:rsidR="0053697A" w:rsidRPr="00182754" w:rsidRDefault="0053697A">
      <w:pPr>
        <w:pStyle w:val="BodyText"/>
        <w:spacing w:before="4"/>
      </w:pPr>
    </w:p>
    <w:p w14:paraId="4970F24B" w14:textId="74FE61AD" w:rsidR="0053697A" w:rsidRPr="004951AD" w:rsidRDefault="00811675" w:rsidP="0053697A">
      <w:pPr>
        <w:pStyle w:val="BodyText"/>
        <w:spacing w:before="4"/>
        <w:rPr>
          <w:sz w:val="20"/>
          <w:szCs w:val="20"/>
        </w:rPr>
      </w:pPr>
      <w:r>
        <w:rPr>
          <w:sz w:val="20"/>
          <w:szCs w:val="20"/>
        </w:rPr>
        <w:t xml:space="preserve">Subfactor </w:t>
      </w:r>
      <w:r w:rsidR="0044731C">
        <w:rPr>
          <w:sz w:val="20"/>
          <w:szCs w:val="20"/>
        </w:rPr>
        <w:t>3</w:t>
      </w:r>
      <w:r w:rsidR="0053697A" w:rsidRPr="004951AD">
        <w:rPr>
          <w:sz w:val="20"/>
          <w:szCs w:val="20"/>
        </w:rPr>
        <w:t xml:space="preserve"> –Management and Capacity</w:t>
      </w:r>
      <w:r>
        <w:rPr>
          <w:sz w:val="20"/>
          <w:szCs w:val="20"/>
        </w:rPr>
        <w:t xml:space="preserve"> Plan </w:t>
      </w:r>
      <w:r w:rsidR="009C7244">
        <w:rPr>
          <w:sz w:val="20"/>
          <w:szCs w:val="20"/>
        </w:rPr>
        <w:t xml:space="preserve">Ratings </w:t>
      </w:r>
      <w:r w:rsidR="004E697A">
        <w:rPr>
          <w:sz w:val="20"/>
          <w:szCs w:val="20"/>
        </w:rPr>
        <w:t>(Table 4</w:t>
      </w:r>
      <w:r w:rsidR="0053697A" w:rsidRPr="004951AD">
        <w:rPr>
          <w:sz w:val="20"/>
          <w:szCs w:val="20"/>
        </w:rPr>
        <w:t>)</w:t>
      </w:r>
    </w:p>
    <w:tbl>
      <w:tblPr>
        <w:tblW w:w="0" w:type="auto"/>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80"/>
        <w:gridCol w:w="7187"/>
      </w:tblGrid>
      <w:tr w:rsidR="00FF030D" w:rsidRPr="00182754" w14:paraId="4970F24E" w14:textId="77777777" w:rsidTr="00AD6214">
        <w:trPr>
          <w:trHeight w:hRule="exact" w:val="288"/>
        </w:trPr>
        <w:tc>
          <w:tcPr>
            <w:tcW w:w="2180" w:type="dxa"/>
          </w:tcPr>
          <w:p w14:paraId="4970F24C" w14:textId="77777777" w:rsidR="00FF030D" w:rsidRPr="00182754" w:rsidRDefault="00FF030D" w:rsidP="00AD6214">
            <w:pPr>
              <w:pStyle w:val="TableParagraph"/>
              <w:spacing w:line="268" w:lineRule="exact"/>
              <w:rPr>
                <w:b/>
                <w:sz w:val="24"/>
                <w:szCs w:val="24"/>
              </w:rPr>
            </w:pPr>
            <w:r w:rsidRPr="00182754">
              <w:rPr>
                <w:b/>
                <w:sz w:val="24"/>
                <w:szCs w:val="24"/>
              </w:rPr>
              <w:t>Adjectival Rating</w:t>
            </w:r>
          </w:p>
        </w:tc>
        <w:tc>
          <w:tcPr>
            <w:tcW w:w="7187" w:type="dxa"/>
          </w:tcPr>
          <w:p w14:paraId="4970F24D" w14:textId="77777777" w:rsidR="00FF030D" w:rsidRPr="00182754" w:rsidRDefault="00FF030D" w:rsidP="00AD6214">
            <w:pPr>
              <w:pStyle w:val="TableParagraph"/>
              <w:spacing w:line="268" w:lineRule="exact"/>
              <w:rPr>
                <w:b/>
                <w:sz w:val="24"/>
                <w:szCs w:val="24"/>
              </w:rPr>
            </w:pPr>
            <w:r w:rsidRPr="00182754">
              <w:rPr>
                <w:b/>
                <w:sz w:val="24"/>
                <w:szCs w:val="24"/>
              </w:rPr>
              <w:t>Description</w:t>
            </w:r>
          </w:p>
        </w:tc>
      </w:tr>
      <w:tr w:rsidR="00FF030D" w:rsidRPr="00182754" w14:paraId="4970F251" w14:textId="77777777" w:rsidTr="00130D4F">
        <w:trPr>
          <w:trHeight w:hRule="exact" w:val="623"/>
        </w:trPr>
        <w:tc>
          <w:tcPr>
            <w:tcW w:w="2180" w:type="dxa"/>
          </w:tcPr>
          <w:p w14:paraId="4970F24F" w14:textId="77777777" w:rsidR="00FF030D" w:rsidRPr="00182754" w:rsidRDefault="00FF030D" w:rsidP="00AD6214">
            <w:pPr>
              <w:pStyle w:val="TableParagraph"/>
              <w:ind w:right="405"/>
              <w:rPr>
                <w:sz w:val="24"/>
                <w:szCs w:val="24"/>
              </w:rPr>
            </w:pPr>
            <w:r>
              <w:rPr>
                <w:sz w:val="24"/>
                <w:szCs w:val="24"/>
              </w:rPr>
              <w:t>Acceptable</w:t>
            </w:r>
          </w:p>
        </w:tc>
        <w:tc>
          <w:tcPr>
            <w:tcW w:w="7187" w:type="dxa"/>
          </w:tcPr>
          <w:p w14:paraId="4970F250" w14:textId="5FF81368" w:rsidR="00FF030D" w:rsidRPr="00182754" w:rsidRDefault="00130D4F" w:rsidP="00AD6214">
            <w:pPr>
              <w:pStyle w:val="TableParagraph"/>
              <w:ind w:right="487"/>
              <w:rPr>
                <w:sz w:val="24"/>
                <w:szCs w:val="24"/>
              </w:rPr>
            </w:pPr>
            <w:r w:rsidRPr="00130D4F">
              <w:rPr>
                <w:sz w:val="24"/>
                <w:szCs w:val="24"/>
              </w:rPr>
              <w:t>Proposal meets the of the management/capacity plan requirements of solicitation</w:t>
            </w:r>
          </w:p>
        </w:tc>
      </w:tr>
      <w:tr w:rsidR="00FF030D" w:rsidRPr="00182754" w14:paraId="4970F254" w14:textId="77777777" w:rsidTr="00524A23">
        <w:trPr>
          <w:trHeight w:hRule="exact" w:val="722"/>
        </w:trPr>
        <w:tc>
          <w:tcPr>
            <w:tcW w:w="2180" w:type="dxa"/>
          </w:tcPr>
          <w:p w14:paraId="4970F252" w14:textId="77777777" w:rsidR="00FF030D" w:rsidRPr="00182754" w:rsidRDefault="00FF030D" w:rsidP="00AD6214">
            <w:pPr>
              <w:pStyle w:val="TableParagraph"/>
              <w:ind w:right="258"/>
              <w:rPr>
                <w:sz w:val="24"/>
                <w:szCs w:val="24"/>
              </w:rPr>
            </w:pPr>
            <w:r>
              <w:rPr>
                <w:sz w:val="24"/>
                <w:szCs w:val="24"/>
              </w:rPr>
              <w:t>Unacceptable</w:t>
            </w:r>
          </w:p>
        </w:tc>
        <w:tc>
          <w:tcPr>
            <w:tcW w:w="7187" w:type="dxa"/>
          </w:tcPr>
          <w:p w14:paraId="4970F253" w14:textId="0771B6FE" w:rsidR="00FF030D" w:rsidRPr="00182754" w:rsidRDefault="00524A23" w:rsidP="00524A23">
            <w:pPr>
              <w:pStyle w:val="TableParagraph"/>
              <w:ind w:right="1087"/>
              <w:rPr>
                <w:sz w:val="24"/>
                <w:szCs w:val="24"/>
              </w:rPr>
            </w:pPr>
            <w:r w:rsidRPr="00524A23">
              <w:rPr>
                <w:sz w:val="24"/>
                <w:szCs w:val="24"/>
              </w:rPr>
              <w:t>Proposal does not meet the management/capacity plan requirements of the solicitation</w:t>
            </w:r>
          </w:p>
        </w:tc>
      </w:tr>
    </w:tbl>
    <w:p w14:paraId="4970F256" w14:textId="77777777" w:rsidR="00077EB6" w:rsidRPr="00182754" w:rsidRDefault="00077EB6" w:rsidP="009732BA">
      <w:pPr>
        <w:pStyle w:val="Heading1"/>
        <w:tabs>
          <w:tab w:val="left" w:pos="461"/>
        </w:tabs>
        <w:jc w:val="both"/>
        <w:rPr>
          <w:b w:val="0"/>
          <w:bCs w:val="0"/>
        </w:rPr>
      </w:pPr>
    </w:p>
    <w:p w14:paraId="7BD2459A" w14:textId="77777777" w:rsidR="001A2925" w:rsidRDefault="001A2925" w:rsidP="00811675">
      <w:pPr>
        <w:pStyle w:val="Heading1"/>
        <w:spacing w:line="274" w:lineRule="exact"/>
        <w:ind w:left="0" w:firstLine="0"/>
        <w:jc w:val="both"/>
        <w:rPr>
          <w:b w:val="0"/>
        </w:rPr>
      </w:pPr>
    </w:p>
    <w:p w14:paraId="091791DA" w14:textId="77777777" w:rsidR="000D3D39" w:rsidRDefault="000D3D39" w:rsidP="00811675">
      <w:pPr>
        <w:pStyle w:val="Heading1"/>
        <w:spacing w:line="274" w:lineRule="exact"/>
        <w:ind w:left="0" w:firstLine="0"/>
        <w:jc w:val="both"/>
        <w:rPr>
          <w:b w:val="0"/>
        </w:rPr>
      </w:pPr>
      <w:r>
        <w:rPr>
          <w:b w:val="0"/>
        </w:rPr>
        <w:t>6.0 Discussions.</w:t>
      </w:r>
    </w:p>
    <w:p w14:paraId="78DF0A19" w14:textId="0C437C0D" w:rsidR="000D3D39" w:rsidRDefault="000D3D39" w:rsidP="00811675">
      <w:pPr>
        <w:pStyle w:val="Heading1"/>
        <w:spacing w:line="274" w:lineRule="exact"/>
        <w:ind w:left="0" w:firstLine="0"/>
        <w:jc w:val="both"/>
        <w:rPr>
          <w:b w:val="0"/>
        </w:rPr>
      </w:pPr>
      <w:r w:rsidRPr="000D3D39">
        <w:rPr>
          <w:b w:val="0"/>
        </w:rPr>
        <w:t>The Government reserves the right to award without discussions.  However, the Government reserves the right to hold discussion using Evaluation Notices (ENs) if, during evaluation it is determined to be in the best interest of the government. Therefore, offerors are advised to submit proposals that are fully and clearly acceptable without additional information.  Any discussions will be conducted in accordance with FAR 15.306.</w:t>
      </w:r>
    </w:p>
    <w:p w14:paraId="2FE075DD" w14:textId="77777777" w:rsidR="000D3D39" w:rsidRDefault="000D3D39" w:rsidP="00811675">
      <w:pPr>
        <w:pStyle w:val="Heading1"/>
        <w:spacing w:line="274" w:lineRule="exact"/>
        <w:ind w:left="0" w:firstLine="0"/>
        <w:jc w:val="both"/>
        <w:rPr>
          <w:b w:val="0"/>
        </w:rPr>
      </w:pPr>
    </w:p>
    <w:p w14:paraId="4970F290" w14:textId="2D782B12" w:rsidR="00444815" w:rsidRPr="004951AD" w:rsidRDefault="000D3D39" w:rsidP="00444815">
      <w:pPr>
        <w:pStyle w:val="Heading1"/>
        <w:spacing w:before="1" w:line="274" w:lineRule="exact"/>
        <w:ind w:left="0" w:firstLine="0"/>
        <w:jc w:val="both"/>
        <w:rPr>
          <w:b w:val="0"/>
        </w:rPr>
      </w:pPr>
      <w:r>
        <w:rPr>
          <w:b w:val="0"/>
        </w:rPr>
        <w:t>7</w:t>
      </w:r>
      <w:r w:rsidR="00444815" w:rsidRPr="004951AD">
        <w:rPr>
          <w:b w:val="0"/>
        </w:rPr>
        <w:t>.0  Award.</w:t>
      </w:r>
    </w:p>
    <w:p w14:paraId="4970F291" w14:textId="2A56133B" w:rsidR="00444815" w:rsidRDefault="00444815" w:rsidP="00444815">
      <w:pPr>
        <w:pStyle w:val="BodyText"/>
        <w:ind w:right="255"/>
        <w:jc w:val="both"/>
      </w:pPr>
      <w:r w:rsidRPr="00182754">
        <w:t xml:space="preserve">The Source Selection Authority </w:t>
      </w:r>
      <w:r w:rsidR="00B2672E">
        <w:t>(SSA) shall select the Offeror(s)</w:t>
      </w:r>
      <w:r w:rsidRPr="00182754">
        <w:t xml:space="preserve"> whose proposal(s) are Technically</w:t>
      </w:r>
      <w:r>
        <w:t xml:space="preserve"> Acceptable </w:t>
      </w:r>
      <w:r w:rsidRPr="00182754">
        <w:t xml:space="preserve">in accordance with the established criteria in this </w:t>
      </w:r>
      <w:r>
        <w:t>Source Selection</w:t>
      </w:r>
      <w:r w:rsidR="009018A9">
        <w:t>.</w:t>
      </w:r>
      <w:r>
        <w:t xml:space="preserve"> The SSA will follow the law. </w:t>
      </w:r>
    </w:p>
    <w:p w14:paraId="4970F292" w14:textId="77777777" w:rsidR="00444815" w:rsidRDefault="00444815" w:rsidP="00444815">
      <w:pPr>
        <w:pStyle w:val="BodyText"/>
        <w:ind w:right="255"/>
        <w:jc w:val="both"/>
      </w:pPr>
    </w:p>
    <w:sectPr w:rsidR="00444815">
      <w:headerReference w:type="default" r:id="rId10"/>
      <w:footerReference w:type="default" r:id="rId11"/>
      <w:pgSz w:w="12240" w:h="15840"/>
      <w:pgMar w:top="980" w:right="1320" w:bottom="1200" w:left="1340" w:header="722" w:footer="10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E7941" w14:textId="77777777" w:rsidR="00B32889" w:rsidRDefault="00B32889">
      <w:r>
        <w:separator/>
      </w:r>
    </w:p>
  </w:endnote>
  <w:endnote w:type="continuationSeparator" w:id="0">
    <w:p w14:paraId="75CF09A9" w14:textId="77777777" w:rsidR="00B32889" w:rsidRDefault="00B32889">
      <w:r>
        <w:continuationSeparator/>
      </w:r>
    </w:p>
  </w:endnote>
  <w:endnote w:type="continuationNotice" w:id="1">
    <w:p w14:paraId="348D05AF" w14:textId="77777777" w:rsidR="00B32889" w:rsidRDefault="00B32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0F2A1" w14:textId="77777777" w:rsidR="00B23E0A" w:rsidRDefault="00B23E0A">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4970F2A4" wp14:editId="4970F2A5">
              <wp:simplePos x="0" y="0"/>
              <wp:positionH relativeFrom="page">
                <wp:posOffset>6692265</wp:posOffset>
              </wp:positionH>
              <wp:positionV relativeFrom="page">
                <wp:posOffset>9274175</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0F2A6" w14:textId="37277995" w:rsidR="00B23E0A" w:rsidRDefault="00B23E0A">
                          <w:pPr>
                            <w:spacing w:line="245" w:lineRule="exact"/>
                            <w:ind w:left="40"/>
                            <w:rPr>
                              <w:rFonts w:ascii="Calibri"/>
                            </w:rPr>
                          </w:pPr>
                          <w:r>
                            <w:fldChar w:fldCharType="begin"/>
                          </w:r>
                          <w:r>
                            <w:rPr>
                              <w:rFonts w:ascii="Calibri"/>
                            </w:rPr>
                            <w:instrText xml:space="preserve"> PAGE </w:instrText>
                          </w:r>
                          <w:r>
                            <w:fldChar w:fldCharType="separate"/>
                          </w:r>
                          <w:r w:rsidR="001A2925">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70F2A4" id="_x0000_t202" coordsize="21600,21600" o:spt="202" path="m,l,21600r21600,l21600,xe">
              <v:stroke joinstyle="miter"/>
              <v:path gradientshapeok="t" o:connecttype="rect"/>
            </v:shapetype>
            <v:shape id="Text Box 1" o:spid="_x0000_s1026" type="#_x0000_t202" style="position:absolute;margin-left:526.95pt;margin-top:730.25pt;width:15.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" filled="f" stroked="f">
              <v:textbox inset="0,0,0,0">
                <w:txbxContent>
                  <w:p w14:paraId="4970F2A6" w14:textId="37277995" w:rsidR="00B23E0A" w:rsidRDefault="00B23E0A">
                    <w:pPr>
                      <w:spacing w:line="245" w:lineRule="exact"/>
                      <w:ind w:left="40"/>
                      <w:rPr>
                        <w:rFonts w:ascii="Calibri"/>
                      </w:rPr>
                    </w:pPr>
                    <w:r>
                      <w:fldChar w:fldCharType="begin"/>
                    </w:r>
                    <w:r>
                      <w:rPr>
                        <w:rFonts w:ascii="Calibri"/>
                      </w:rPr>
                      <w:instrText xml:space="preserve"> PAGE </w:instrText>
                    </w:r>
                    <w:r>
                      <w:fldChar w:fldCharType="separate"/>
                    </w:r>
                    <w:r w:rsidR="001A2925">
                      <w:rPr>
                        <w:rFonts w:ascii="Calibri"/>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0E703" w14:textId="77777777" w:rsidR="00B32889" w:rsidRDefault="00B32889">
      <w:r>
        <w:separator/>
      </w:r>
    </w:p>
  </w:footnote>
  <w:footnote w:type="continuationSeparator" w:id="0">
    <w:p w14:paraId="41580E69" w14:textId="77777777" w:rsidR="00B32889" w:rsidRDefault="00B32889">
      <w:r>
        <w:continuationSeparator/>
      </w:r>
    </w:p>
  </w:footnote>
  <w:footnote w:type="continuationNotice" w:id="1">
    <w:p w14:paraId="7708DEBF" w14:textId="77777777" w:rsidR="00B32889" w:rsidRDefault="00B328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0F29D" w14:textId="56A61BD6" w:rsidR="006E346B" w:rsidRDefault="00444815" w:rsidP="00112622">
    <w:pPr>
      <w:ind w:left="164"/>
      <w:jc w:val="center"/>
    </w:pPr>
    <w:r>
      <w:t>FA70142</w:t>
    </w:r>
    <w:r w:rsidR="000837AB">
      <w:t>3</w:t>
    </w:r>
    <w:r>
      <w:t>R001</w:t>
    </w:r>
    <w:r w:rsidR="00756018">
      <w:t>9</w:t>
    </w:r>
  </w:p>
  <w:p w14:paraId="4970F29E" w14:textId="70E5271F" w:rsidR="00B23E0A" w:rsidRDefault="00BF6783" w:rsidP="00112622">
    <w:pPr>
      <w:ind w:left="164"/>
      <w:jc w:val="center"/>
    </w:pPr>
    <w:r>
      <w:t xml:space="preserve">DEPARTMENT OF THE </w:t>
    </w:r>
    <w:r w:rsidR="00B23E0A">
      <w:t>AIR FORCE STRATEGIC TRANSFORMATIO</w:t>
    </w:r>
    <w:r w:rsidR="006E346B">
      <w:t>N SUPPORT (</w:t>
    </w:r>
    <w:r>
      <w:t>D</w:t>
    </w:r>
    <w:r w:rsidR="006E346B">
      <w:t>AFSTS</w:t>
    </w:r>
    <w:r>
      <w:t xml:space="preserve"> II</w:t>
    </w:r>
    <w:r w:rsidR="006E346B">
      <w:t>)</w:t>
    </w:r>
    <w:r w:rsidR="006E346B">
      <w:br/>
    </w:r>
    <w:r w:rsidR="00B23E0A">
      <w:t xml:space="preserve">ADDENDUM </w:t>
    </w:r>
    <w:r w:rsidR="006E346B">
      <w:t xml:space="preserve">TO </w:t>
    </w:r>
    <w:r w:rsidR="00855E0A">
      <w:t xml:space="preserve">FAR </w:t>
    </w:r>
    <w:r w:rsidR="000D679F">
      <w:t>52.212-2 EVALUTION – COMMERCIAL ITEMS</w:t>
    </w:r>
  </w:p>
  <w:p w14:paraId="4970F29F" w14:textId="77777777" w:rsidR="006E346B" w:rsidRDefault="006E346B" w:rsidP="006E346B">
    <w:pPr>
      <w:ind w:left="164"/>
      <w:jc w:val="center"/>
    </w:pPr>
    <w:r>
      <w:t>ATTACHMENT 2</w:t>
    </w:r>
  </w:p>
  <w:p w14:paraId="245AEF3C" w14:textId="77777777" w:rsidR="00582FA6" w:rsidRDefault="00582FA6" w:rsidP="006E346B">
    <w:pPr>
      <w:ind w:left="16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5EDE"/>
    <w:multiLevelType w:val="multilevel"/>
    <w:tmpl w:val="8C122A4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1346FF"/>
    <w:multiLevelType w:val="multilevel"/>
    <w:tmpl w:val="C71892B2"/>
    <w:lvl w:ilvl="0">
      <w:start w:val="3"/>
      <w:numFmt w:val="decimal"/>
      <w:lvlText w:val="%1"/>
      <w:lvlJc w:val="left"/>
      <w:pPr>
        <w:ind w:left="460" w:hanging="360"/>
      </w:pPr>
      <w:rPr>
        <w:rFonts w:hint="default"/>
      </w:rPr>
    </w:lvl>
    <w:lvl w:ilvl="1">
      <w:start w:val="4"/>
      <w:numFmt w:val="decimal"/>
      <w:lvlText w:val="%1.%2"/>
      <w:lvlJc w:val="left"/>
      <w:pPr>
        <w:ind w:left="460" w:hanging="360"/>
      </w:pPr>
      <w:rPr>
        <w:rFonts w:ascii="Times New Roman" w:eastAsia="Times New Roman" w:hAnsi="Times New Roman" w:cs="Times New Roman" w:hint="default"/>
        <w:b/>
        <w:bCs/>
        <w:spacing w:val="-3"/>
        <w:w w:val="99"/>
        <w:sz w:val="24"/>
        <w:szCs w:val="24"/>
      </w:rPr>
    </w:lvl>
    <w:lvl w:ilvl="2">
      <w:start w:val="1"/>
      <w:numFmt w:val="decimal"/>
      <w:lvlText w:val="%1.%2.%3"/>
      <w:lvlJc w:val="left"/>
      <w:pPr>
        <w:ind w:left="820" w:hanging="540"/>
      </w:pPr>
      <w:rPr>
        <w:rFonts w:ascii="Times New Roman" w:eastAsia="Times New Roman" w:hAnsi="Times New Roman" w:cs="Times New Roman" w:hint="default"/>
        <w:spacing w:val="-5"/>
        <w:w w:val="99"/>
        <w:sz w:val="24"/>
        <w:szCs w:val="24"/>
      </w:rPr>
    </w:lvl>
    <w:lvl w:ilvl="3">
      <w:start w:val="1"/>
      <w:numFmt w:val="decimal"/>
      <w:lvlText w:val="%1.%2.%3.%4."/>
      <w:lvlJc w:val="left"/>
      <w:pPr>
        <w:ind w:left="820" w:hanging="783"/>
      </w:pPr>
      <w:rPr>
        <w:rFonts w:ascii="Times New Roman" w:eastAsia="Times New Roman" w:hAnsi="Times New Roman" w:cs="Times New Roman" w:hint="default"/>
        <w:w w:val="100"/>
        <w:sz w:val="24"/>
        <w:szCs w:val="24"/>
      </w:rPr>
    </w:lvl>
    <w:lvl w:ilvl="4">
      <w:numFmt w:val="bullet"/>
      <w:lvlText w:val="•"/>
      <w:lvlJc w:val="left"/>
      <w:pPr>
        <w:ind w:left="3740" w:hanging="783"/>
      </w:pPr>
      <w:rPr>
        <w:rFonts w:hint="default"/>
      </w:rPr>
    </w:lvl>
    <w:lvl w:ilvl="5">
      <w:numFmt w:val="bullet"/>
      <w:lvlText w:val="•"/>
      <w:lvlJc w:val="left"/>
      <w:pPr>
        <w:ind w:left="4713" w:hanging="783"/>
      </w:pPr>
      <w:rPr>
        <w:rFonts w:hint="default"/>
      </w:rPr>
    </w:lvl>
    <w:lvl w:ilvl="6">
      <w:numFmt w:val="bullet"/>
      <w:lvlText w:val="•"/>
      <w:lvlJc w:val="left"/>
      <w:pPr>
        <w:ind w:left="5686" w:hanging="783"/>
      </w:pPr>
      <w:rPr>
        <w:rFonts w:hint="default"/>
      </w:rPr>
    </w:lvl>
    <w:lvl w:ilvl="7">
      <w:numFmt w:val="bullet"/>
      <w:lvlText w:val="•"/>
      <w:lvlJc w:val="left"/>
      <w:pPr>
        <w:ind w:left="6660" w:hanging="783"/>
      </w:pPr>
      <w:rPr>
        <w:rFonts w:hint="default"/>
      </w:rPr>
    </w:lvl>
    <w:lvl w:ilvl="8">
      <w:numFmt w:val="bullet"/>
      <w:lvlText w:val="•"/>
      <w:lvlJc w:val="left"/>
      <w:pPr>
        <w:ind w:left="7633" w:hanging="783"/>
      </w:pPr>
      <w:rPr>
        <w:rFonts w:hint="default"/>
      </w:rPr>
    </w:lvl>
  </w:abstractNum>
  <w:abstractNum w:abstractNumId="2" w15:restartNumberingAfterBreak="0">
    <w:nsid w:val="158D7A3A"/>
    <w:multiLevelType w:val="multilevel"/>
    <w:tmpl w:val="3F004BFE"/>
    <w:lvl w:ilvl="0">
      <w:start w:val="3"/>
      <w:numFmt w:val="decimal"/>
      <w:lvlText w:val="%1"/>
      <w:lvlJc w:val="left"/>
      <w:pPr>
        <w:ind w:left="820" w:hanging="540"/>
      </w:pPr>
      <w:rPr>
        <w:rFonts w:hint="default"/>
      </w:rPr>
    </w:lvl>
    <w:lvl w:ilvl="1">
      <w:start w:val="5"/>
      <w:numFmt w:val="decimal"/>
      <w:lvlText w:val="%1.%2"/>
      <w:lvlJc w:val="left"/>
      <w:pPr>
        <w:ind w:left="820" w:hanging="540"/>
      </w:pPr>
      <w:rPr>
        <w:rFonts w:hint="default"/>
      </w:rPr>
    </w:lvl>
    <w:lvl w:ilvl="2">
      <w:start w:val="1"/>
      <w:numFmt w:val="decimal"/>
      <w:lvlText w:val="%1.%2.%3"/>
      <w:lvlJc w:val="left"/>
      <w:pPr>
        <w:ind w:left="820" w:hanging="540"/>
      </w:pPr>
      <w:rPr>
        <w:rFonts w:ascii="Times New Roman" w:eastAsia="Times New Roman" w:hAnsi="Times New Roman" w:cs="Times New Roman" w:hint="default"/>
        <w:spacing w:val="-2"/>
        <w:w w:val="99"/>
        <w:sz w:val="24"/>
        <w:szCs w:val="24"/>
      </w:rPr>
    </w:lvl>
    <w:lvl w:ilvl="3">
      <w:start w:val="1"/>
      <w:numFmt w:val="decimal"/>
      <w:lvlText w:val="%1.%2.%3.%4"/>
      <w:lvlJc w:val="left"/>
      <w:pPr>
        <w:ind w:left="1540" w:hanging="713"/>
        <w:jc w:val="right"/>
      </w:pPr>
      <w:rPr>
        <w:rFonts w:ascii="Times New Roman" w:eastAsia="Times New Roman" w:hAnsi="Times New Roman" w:cs="Times New Roman" w:hint="default"/>
        <w:spacing w:val="-3"/>
        <w:w w:val="100"/>
        <w:sz w:val="24"/>
        <w:szCs w:val="24"/>
      </w:rPr>
    </w:lvl>
    <w:lvl w:ilvl="4">
      <w:numFmt w:val="bullet"/>
      <w:lvlText w:val="•"/>
      <w:lvlJc w:val="left"/>
      <w:pPr>
        <w:ind w:left="4220" w:hanging="713"/>
      </w:pPr>
      <w:rPr>
        <w:rFonts w:hint="default"/>
      </w:rPr>
    </w:lvl>
    <w:lvl w:ilvl="5">
      <w:numFmt w:val="bullet"/>
      <w:lvlText w:val="•"/>
      <w:lvlJc w:val="left"/>
      <w:pPr>
        <w:ind w:left="5113" w:hanging="713"/>
      </w:pPr>
      <w:rPr>
        <w:rFonts w:hint="default"/>
      </w:rPr>
    </w:lvl>
    <w:lvl w:ilvl="6">
      <w:numFmt w:val="bullet"/>
      <w:lvlText w:val="•"/>
      <w:lvlJc w:val="left"/>
      <w:pPr>
        <w:ind w:left="6006" w:hanging="713"/>
      </w:pPr>
      <w:rPr>
        <w:rFonts w:hint="default"/>
      </w:rPr>
    </w:lvl>
    <w:lvl w:ilvl="7">
      <w:numFmt w:val="bullet"/>
      <w:lvlText w:val="•"/>
      <w:lvlJc w:val="left"/>
      <w:pPr>
        <w:ind w:left="6900" w:hanging="713"/>
      </w:pPr>
      <w:rPr>
        <w:rFonts w:hint="default"/>
      </w:rPr>
    </w:lvl>
    <w:lvl w:ilvl="8">
      <w:numFmt w:val="bullet"/>
      <w:lvlText w:val="•"/>
      <w:lvlJc w:val="left"/>
      <w:pPr>
        <w:ind w:left="7793" w:hanging="713"/>
      </w:pPr>
      <w:rPr>
        <w:rFonts w:hint="default"/>
      </w:rPr>
    </w:lvl>
  </w:abstractNum>
  <w:abstractNum w:abstractNumId="3" w15:restartNumberingAfterBreak="0">
    <w:nsid w:val="1CFE673C"/>
    <w:multiLevelType w:val="multilevel"/>
    <w:tmpl w:val="C0286092"/>
    <w:lvl w:ilvl="0">
      <w:start w:val="3"/>
      <w:numFmt w:val="decimal"/>
      <w:lvlText w:val="%1"/>
      <w:lvlJc w:val="left"/>
      <w:pPr>
        <w:ind w:left="100" w:hanging="360"/>
      </w:pPr>
      <w:rPr>
        <w:rFonts w:hint="default"/>
      </w:rPr>
    </w:lvl>
    <w:lvl w:ilvl="1">
      <w:numFmt w:val="decimal"/>
      <w:lvlText w:val="%1.%2"/>
      <w:lvlJc w:val="left"/>
      <w:pPr>
        <w:ind w:left="100" w:hanging="360"/>
      </w:pPr>
      <w:rPr>
        <w:rFonts w:hint="default"/>
        <w:b/>
        <w:bCs/>
        <w:spacing w:val="-3"/>
        <w:w w:val="99"/>
      </w:rPr>
    </w:lvl>
    <w:lvl w:ilvl="2">
      <w:start w:val="1"/>
      <w:numFmt w:val="decimal"/>
      <w:lvlText w:val="%1.%2.%3"/>
      <w:lvlJc w:val="left"/>
      <w:pPr>
        <w:ind w:left="540" w:hanging="540"/>
      </w:pPr>
      <w:rPr>
        <w:rFonts w:hint="default"/>
        <w:b/>
        <w:bCs/>
        <w:spacing w:val="-5"/>
        <w:w w:val="99"/>
      </w:rPr>
    </w:lvl>
    <w:lvl w:ilvl="3">
      <w:numFmt w:val="bullet"/>
      <w:lvlText w:val="•"/>
      <w:lvlJc w:val="left"/>
      <w:pPr>
        <w:ind w:left="3186" w:hanging="540"/>
      </w:pPr>
      <w:rPr>
        <w:rFonts w:hint="default"/>
      </w:rPr>
    </w:lvl>
    <w:lvl w:ilvl="4">
      <w:numFmt w:val="bullet"/>
      <w:lvlText w:val="•"/>
      <w:lvlJc w:val="left"/>
      <w:pPr>
        <w:ind w:left="4100" w:hanging="540"/>
      </w:pPr>
      <w:rPr>
        <w:rFonts w:hint="default"/>
      </w:rPr>
    </w:lvl>
    <w:lvl w:ilvl="5">
      <w:numFmt w:val="bullet"/>
      <w:lvlText w:val="•"/>
      <w:lvlJc w:val="left"/>
      <w:pPr>
        <w:ind w:left="5013" w:hanging="540"/>
      </w:pPr>
      <w:rPr>
        <w:rFonts w:hint="default"/>
      </w:rPr>
    </w:lvl>
    <w:lvl w:ilvl="6">
      <w:numFmt w:val="bullet"/>
      <w:lvlText w:val="•"/>
      <w:lvlJc w:val="left"/>
      <w:pPr>
        <w:ind w:left="5926" w:hanging="540"/>
      </w:pPr>
      <w:rPr>
        <w:rFonts w:hint="default"/>
      </w:rPr>
    </w:lvl>
    <w:lvl w:ilvl="7">
      <w:numFmt w:val="bullet"/>
      <w:lvlText w:val="•"/>
      <w:lvlJc w:val="left"/>
      <w:pPr>
        <w:ind w:left="6840" w:hanging="540"/>
      </w:pPr>
      <w:rPr>
        <w:rFonts w:hint="default"/>
      </w:rPr>
    </w:lvl>
    <w:lvl w:ilvl="8">
      <w:numFmt w:val="bullet"/>
      <w:lvlText w:val="•"/>
      <w:lvlJc w:val="left"/>
      <w:pPr>
        <w:ind w:left="7753" w:hanging="540"/>
      </w:pPr>
      <w:rPr>
        <w:rFonts w:hint="default"/>
      </w:rPr>
    </w:lvl>
  </w:abstractNum>
  <w:abstractNum w:abstractNumId="4" w15:restartNumberingAfterBreak="0">
    <w:nsid w:val="25F27138"/>
    <w:multiLevelType w:val="hybridMultilevel"/>
    <w:tmpl w:val="9748145A"/>
    <w:lvl w:ilvl="0" w:tplc="091A90AA">
      <w:start w:val="1"/>
      <w:numFmt w:val="lowerLetter"/>
      <w:lvlText w:val="%1)"/>
      <w:lvlJc w:val="left"/>
      <w:pPr>
        <w:ind w:left="460" w:hanging="360"/>
      </w:pPr>
      <w:rPr>
        <w:rFonts w:ascii="Times New Roman" w:eastAsia="Times New Roman" w:hAnsi="Times New Roman" w:cs="Times New Roman" w:hint="default"/>
        <w:b/>
        <w:bCs/>
        <w:spacing w:val="-20"/>
        <w:w w:val="99"/>
        <w:sz w:val="24"/>
        <w:szCs w:val="24"/>
      </w:rPr>
    </w:lvl>
    <w:lvl w:ilvl="1" w:tplc="57F4AC9C">
      <w:start w:val="1"/>
      <w:numFmt w:val="decimal"/>
      <w:lvlText w:val="(%2)"/>
      <w:lvlJc w:val="left"/>
      <w:pPr>
        <w:ind w:left="100" w:hanging="528"/>
      </w:pPr>
      <w:rPr>
        <w:rFonts w:ascii="Times New Roman" w:eastAsia="Times New Roman" w:hAnsi="Times New Roman" w:cs="Times New Roman" w:hint="default"/>
        <w:spacing w:val="-3"/>
        <w:w w:val="99"/>
        <w:sz w:val="24"/>
        <w:szCs w:val="24"/>
      </w:rPr>
    </w:lvl>
    <w:lvl w:ilvl="2" w:tplc="5DFC1F4E">
      <w:start w:val="1"/>
      <w:numFmt w:val="decimal"/>
      <w:lvlText w:val="(%3)"/>
      <w:lvlJc w:val="left"/>
      <w:pPr>
        <w:ind w:left="100" w:hanging="355"/>
      </w:pPr>
      <w:rPr>
        <w:rFonts w:ascii="Times New Roman" w:eastAsia="Times New Roman" w:hAnsi="Times New Roman" w:cs="Times New Roman" w:hint="default"/>
        <w:w w:val="99"/>
        <w:sz w:val="24"/>
        <w:szCs w:val="24"/>
      </w:rPr>
    </w:lvl>
    <w:lvl w:ilvl="3" w:tplc="4F888050">
      <w:start w:val="1"/>
      <w:numFmt w:val="lowerRoman"/>
      <w:lvlText w:val="(%4)"/>
      <w:lvlJc w:val="left"/>
      <w:pPr>
        <w:ind w:left="940" w:hanging="346"/>
      </w:pPr>
      <w:rPr>
        <w:rFonts w:ascii="Times New Roman" w:eastAsia="Times New Roman" w:hAnsi="Times New Roman" w:cs="Times New Roman" w:hint="default"/>
        <w:spacing w:val="-4"/>
        <w:w w:val="99"/>
        <w:sz w:val="24"/>
        <w:szCs w:val="24"/>
      </w:rPr>
    </w:lvl>
    <w:lvl w:ilvl="4" w:tplc="18C21F16">
      <w:start w:val="1"/>
      <w:numFmt w:val="lowerLetter"/>
      <w:lvlText w:val="(%5)"/>
      <w:lvlJc w:val="left"/>
      <w:pPr>
        <w:ind w:left="1660" w:hanging="360"/>
      </w:pPr>
      <w:rPr>
        <w:spacing w:val="-25"/>
        <w:w w:val="99"/>
      </w:rPr>
    </w:lvl>
    <w:lvl w:ilvl="5" w:tplc="FB70845E">
      <w:numFmt w:val="bullet"/>
      <w:lvlText w:val="•"/>
      <w:lvlJc w:val="left"/>
      <w:pPr>
        <w:ind w:left="2983" w:hanging="360"/>
      </w:pPr>
    </w:lvl>
    <w:lvl w:ilvl="6" w:tplc="8E40A6BC">
      <w:numFmt w:val="bullet"/>
      <w:lvlText w:val="•"/>
      <w:lvlJc w:val="left"/>
      <w:pPr>
        <w:ind w:left="4306" w:hanging="360"/>
      </w:pPr>
    </w:lvl>
    <w:lvl w:ilvl="7" w:tplc="EAAEA8AE">
      <w:numFmt w:val="bullet"/>
      <w:lvlText w:val="•"/>
      <w:lvlJc w:val="left"/>
      <w:pPr>
        <w:ind w:left="5630" w:hanging="360"/>
      </w:pPr>
    </w:lvl>
    <w:lvl w:ilvl="8" w:tplc="B7E8D9DE">
      <w:numFmt w:val="bullet"/>
      <w:lvlText w:val="•"/>
      <w:lvlJc w:val="left"/>
      <w:pPr>
        <w:ind w:left="6953" w:hanging="360"/>
      </w:pPr>
    </w:lvl>
  </w:abstractNum>
  <w:abstractNum w:abstractNumId="5" w15:restartNumberingAfterBreak="0">
    <w:nsid w:val="29FA0421"/>
    <w:multiLevelType w:val="hybridMultilevel"/>
    <w:tmpl w:val="0AD6FDF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A32F71"/>
    <w:multiLevelType w:val="multilevel"/>
    <w:tmpl w:val="2A9C2D72"/>
    <w:lvl w:ilvl="0">
      <w:start w:val="3"/>
      <w:numFmt w:val="decimal"/>
      <w:lvlText w:val="%1"/>
      <w:lvlJc w:val="left"/>
      <w:pPr>
        <w:ind w:left="460" w:hanging="360"/>
      </w:pPr>
      <w:rPr>
        <w:rFonts w:hint="default"/>
      </w:rPr>
    </w:lvl>
    <w:lvl w:ilvl="1">
      <w:start w:val="3"/>
      <w:numFmt w:val="decimal"/>
      <w:lvlText w:val="%1.%2"/>
      <w:lvlJc w:val="left"/>
      <w:pPr>
        <w:ind w:left="460" w:hanging="360"/>
      </w:pPr>
      <w:rPr>
        <w:rFonts w:ascii="Times New Roman" w:eastAsia="Times New Roman" w:hAnsi="Times New Roman" w:cs="Times New Roman" w:hint="default"/>
        <w:b/>
        <w:bCs/>
        <w:spacing w:val="-4"/>
        <w:w w:val="99"/>
        <w:sz w:val="24"/>
        <w:szCs w:val="24"/>
      </w:rPr>
    </w:lvl>
    <w:lvl w:ilvl="2">
      <w:start w:val="1"/>
      <w:numFmt w:val="decimal"/>
      <w:lvlText w:val="%1.%2.%3"/>
      <w:lvlJc w:val="left"/>
      <w:pPr>
        <w:ind w:left="100" w:hanging="533"/>
      </w:pPr>
      <w:rPr>
        <w:rFonts w:hint="default"/>
        <w:w w:val="100"/>
      </w:rPr>
    </w:lvl>
    <w:lvl w:ilvl="3">
      <w:start w:val="1"/>
      <w:numFmt w:val="decimal"/>
      <w:lvlText w:val="%1.%2.%3.%4"/>
      <w:lvlJc w:val="left"/>
      <w:pPr>
        <w:ind w:left="820" w:hanging="749"/>
      </w:pPr>
      <w:rPr>
        <w:rFonts w:hint="default"/>
        <w:b/>
        <w:bCs/>
        <w:w w:val="100"/>
      </w:rPr>
    </w:lvl>
    <w:lvl w:ilvl="4">
      <w:numFmt w:val="bullet"/>
      <w:lvlText w:val="•"/>
      <w:lvlJc w:val="left"/>
      <w:pPr>
        <w:ind w:left="3010" w:hanging="749"/>
      </w:pPr>
      <w:rPr>
        <w:rFonts w:hint="default"/>
      </w:rPr>
    </w:lvl>
    <w:lvl w:ilvl="5">
      <w:numFmt w:val="bullet"/>
      <w:lvlText w:val="•"/>
      <w:lvlJc w:val="left"/>
      <w:pPr>
        <w:ind w:left="4105" w:hanging="749"/>
      </w:pPr>
      <w:rPr>
        <w:rFonts w:hint="default"/>
      </w:rPr>
    </w:lvl>
    <w:lvl w:ilvl="6">
      <w:numFmt w:val="bullet"/>
      <w:lvlText w:val="•"/>
      <w:lvlJc w:val="left"/>
      <w:pPr>
        <w:ind w:left="5200" w:hanging="749"/>
      </w:pPr>
      <w:rPr>
        <w:rFonts w:hint="default"/>
      </w:rPr>
    </w:lvl>
    <w:lvl w:ilvl="7">
      <w:numFmt w:val="bullet"/>
      <w:lvlText w:val="•"/>
      <w:lvlJc w:val="left"/>
      <w:pPr>
        <w:ind w:left="6295" w:hanging="749"/>
      </w:pPr>
      <w:rPr>
        <w:rFonts w:hint="default"/>
      </w:rPr>
    </w:lvl>
    <w:lvl w:ilvl="8">
      <w:numFmt w:val="bullet"/>
      <w:lvlText w:val="•"/>
      <w:lvlJc w:val="left"/>
      <w:pPr>
        <w:ind w:left="7390" w:hanging="749"/>
      </w:pPr>
      <w:rPr>
        <w:rFonts w:hint="default"/>
      </w:rPr>
    </w:lvl>
  </w:abstractNum>
  <w:abstractNum w:abstractNumId="7" w15:restartNumberingAfterBreak="0">
    <w:nsid w:val="2E522CAF"/>
    <w:multiLevelType w:val="hybridMultilevel"/>
    <w:tmpl w:val="C90A2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EDD1970"/>
    <w:multiLevelType w:val="hybridMultilevel"/>
    <w:tmpl w:val="26A25F3E"/>
    <w:lvl w:ilvl="0" w:tplc="6250EF86">
      <w:numFmt w:val="bullet"/>
      <w:lvlText w:val="*"/>
      <w:lvlJc w:val="left"/>
      <w:pPr>
        <w:ind w:left="1290" w:hanging="180"/>
      </w:pPr>
      <w:rPr>
        <w:rFonts w:ascii="Times New Roman" w:eastAsia="Times New Roman" w:hAnsi="Times New Roman" w:cs="Times New Roman" w:hint="default"/>
        <w:spacing w:val="-5"/>
        <w:w w:val="99"/>
        <w:sz w:val="24"/>
        <w:szCs w:val="24"/>
      </w:rPr>
    </w:lvl>
    <w:lvl w:ilvl="1" w:tplc="7FB81A88">
      <w:numFmt w:val="bullet"/>
      <w:lvlText w:val="•"/>
      <w:lvlJc w:val="left"/>
      <w:pPr>
        <w:ind w:left="2132" w:hanging="180"/>
      </w:pPr>
      <w:rPr>
        <w:rFonts w:hint="default"/>
      </w:rPr>
    </w:lvl>
    <w:lvl w:ilvl="2" w:tplc="421CAD68">
      <w:numFmt w:val="bullet"/>
      <w:lvlText w:val="•"/>
      <w:lvlJc w:val="left"/>
      <w:pPr>
        <w:ind w:left="2964" w:hanging="180"/>
      </w:pPr>
      <w:rPr>
        <w:rFonts w:hint="default"/>
      </w:rPr>
    </w:lvl>
    <w:lvl w:ilvl="3" w:tplc="15025908">
      <w:numFmt w:val="bullet"/>
      <w:lvlText w:val="•"/>
      <w:lvlJc w:val="left"/>
      <w:pPr>
        <w:ind w:left="3796" w:hanging="180"/>
      </w:pPr>
      <w:rPr>
        <w:rFonts w:hint="default"/>
      </w:rPr>
    </w:lvl>
    <w:lvl w:ilvl="4" w:tplc="0F0829A6">
      <w:numFmt w:val="bullet"/>
      <w:lvlText w:val="•"/>
      <w:lvlJc w:val="left"/>
      <w:pPr>
        <w:ind w:left="4628" w:hanging="180"/>
      </w:pPr>
      <w:rPr>
        <w:rFonts w:hint="default"/>
      </w:rPr>
    </w:lvl>
    <w:lvl w:ilvl="5" w:tplc="1D7466B4">
      <w:numFmt w:val="bullet"/>
      <w:lvlText w:val="•"/>
      <w:lvlJc w:val="left"/>
      <w:pPr>
        <w:ind w:left="5460" w:hanging="180"/>
      </w:pPr>
      <w:rPr>
        <w:rFonts w:hint="default"/>
      </w:rPr>
    </w:lvl>
    <w:lvl w:ilvl="6" w:tplc="79EA9692">
      <w:numFmt w:val="bullet"/>
      <w:lvlText w:val="•"/>
      <w:lvlJc w:val="left"/>
      <w:pPr>
        <w:ind w:left="6292" w:hanging="180"/>
      </w:pPr>
      <w:rPr>
        <w:rFonts w:hint="default"/>
      </w:rPr>
    </w:lvl>
    <w:lvl w:ilvl="7" w:tplc="E9E8319E">
      <w:numFmt w:val="bullet"/>
      <w:lvlText w:val="•"/>
      <w:lvlJc w:val="left"/>
      <w:pPr>
        <w:ind w:left="7124" w:hanging="180"/>
      </w:pPr>
      <w:rPr>
        <w:rFonts w:hint="default"/>
      </w:rPr>
    </w:lvl>
    <w:lvl w:ilvl="8" w:tplc="CF1CE78A">
      <w:numFmt w:val="bullet"/>
      <w:lvlText w:val="•"/>
      <w:lvlJc w:val="left"/>
      <w:pPr>
        <w:ind w:left="7956" w:hanging="180"/>
      </w:pPr>
      <w:rPr>
        <w:rFonts w:hint="default"/>
      </w:rPr>
    </w:lvl>
  </w:abstractNum>
  <w:abstractNum w:abstractNumId="9" w15:restartNumberingAfterBreak="0">
    <w:nsid w:val="32FF168F"/>
    <w:multiLevelType w:val="hybridMultilevel"/>
    <w:tmpl w:val="47DC5446"/>
    <w:lvl w:ilvl="0" w:tplc="5B1CBF2A">
      <w:start w:val="1"/>
      <w:numFmt w:val="lowerLetter"/>
      <w:lvlText w:val="%1."/>
      <w:lvlJc w:val="left"/>
      <w:pPr>
        <w:ind w:left="100" w:hanging="226"/>
      </w:pPr>
      <w:rPr>
        <w:rFonts w:ascii="Times New Roman" w:eastAsia="Times New Roman" w:hAnsi="Times New Roman" w:cs="Times New Roman" w:hint="default"/>
        <w:spacing w:val="-5"/>
        <w:w w:val="99"/>
        <w:sz w:val="24"/>
        <w:szCs w:val="24"/>
      </w:rPr>
    </w:lvl>
    <w:lvl w:ilvl="1" w:tplc="3F7E1DB2">
      <w:numFmt w:val="bullet"/>
      <w:lvlText w:val="•"/>
      <w:lvlJc w:val="left"/>
      <w:pPr>
        <w:ind w:left="1048" w:hanging="226"/>
      </w:pPr>
      <w:rPr>
        <w:rFonts w:hint="default"/>
      </w:rPr>
    </w:lvl>
    <w:lvl w:ilvl="2" w:tplc="7C94A75E">
      <w:numFmt w:val="bullet"/>
      <w:lvlText w:val="•"/>
      <w:lvlJc w:val="left"/>
      <w:pPr>
        <w:ind w:left="1996" w:hanging="226"/>
      </w:pPr>
      <w:rPr>
        <w:rFonts w:hint="default"/>
      </w:rPr>
    </w:lvl>
    <w:lvl w:ilvl="3" w:tplc="3C18C856">
      <w:numFmt w:val="bullet"/>
      <w:lvlText w:val="•"/>
      <w:lvlJc w:val="left"/>
      <w:pPr>
        <w:ind w:left="2944" w:hanging="226"/>
      </w:pPr>
      <w:rPr>
        <w:rFonts w:hint="default"/>
      </w:rPr>
    </w:lvl>
    <w:lvl w:ilvl="4" w:tplc="4712E9C8">
      <w:numFmt w:val="bullet"/>
      <w:lvlText w:val="•"/>
      <w:lvlJc w:val="left"/>
      <w:pPr>
        <w:ind w:left="3892" w:hanging="226"/>
      </w:pPr>
      <w:rPr>
        <w:rFonts w:hint="default"/>
      </w:rPr>
    </w:lvl>
    <w:lvl w:ilvl="5" w:tplc="6622900A">
      <w:numFmt w:val="bullet"/>
      <w:lvlText w:val="•"/>
      <w:lvlJc w:val="left"/>
      <w:pPr>
        <w:ind w:left="4840" w:hanging="226"/>
      </w:pPr>
      <w:rPr>
        <w:rFonts w:hint="default"/>
      </w:rPr>
    </w:lvl>
    <w:lvl w:ilvl="6" w:tplc="6BBEB9EE">
      <w:numFmt w:val="bullet"/>
      <w:lvlText w:val="•"/>
      <w:lvlJc w:val="left"/>
      <w:pPr>
        <w:ind w:left="5788" w:hanging="226"/>
      </w:pPr>
      <w:rPr>
        <w:rFonts w:hint="default"/>
      </w:rPr>
    </w:lvl>
    <w:lvl w:ilvl="7" w:tplc="5D0639A2">
      <w:numFmt w:val="bullet"/>
      <w:lvlText w:val="•"/>
      <w:lvlJc w:val="left"/>
      <w:pPr>
        <w:ind w:left="6736" w:hanging="226"/>
      </w:pPr>
      <w:rPr>
        <w:rFonts w:hint="default"/>
      </w:rPr>
    </w:lvl>
    <w:lvl w:ilvl="8" w:tplc="517EC4B0">
      <w:numFmt w:val="bullet"/>
      <w:lvlText w:val="•"/>
      <w:lvlJc w:val="left"/>
      <w:pPr>
        <w:ind w:left="7684" w:hanging="226"/>
      </w:pPr>
      <w:rPr>
        <w:rFonts w:hint="default"/>
      </w:rPr>
    </w:lvl>
  </w:abstractNum>
  <w:abstractNum w:abstractNumId="10" w15:restartNumberingAfterBreak="0">
    <w:nsid w:val="3E1318F7"/>
    <w:multiLevelType w:val="hybridMultilevel"/>
    <w:tmpl w:val="D77E88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111698D"/>
    <w:multiLevelType w:val="multilevel"/>
    <w:tmpl w:val="BA0E604E"/>
    <w:lvl w:ilvl="0">
      <w:start w:val="2"/>
      <w:numFmt w:val="decimal"/>
      <w:lvlText w:val="%1"/>
      <w:lvlJc w:val="left"/>
      <w:pPr>
        <w:ind w:left="839" w:hanging="720"/>
      </w:pPr>
      <w:rPr>
        <w:rFonts w:hint="default"/>
      </w:rPr>
    </w:lvl>
    <w:lvl w:ilvl="1">
      <w:start w:val="7"/>
      <w:numFmt w:val="decimal"/>
      <w:lvlText w:val="%1.%2"/>
      <w:lvlJc w:val="left"/>
      <w:pPr>
        <w:ind w:left="839" w:hanging="720"/>
        <w:jc w:val="right"/>
      </w:pPr>
      <w:rPr>
        <w:rFonts w:ascii="Times New Roman" w:eastAsia="Times New Roman" w:hAnsi="Times New Roman" w:cs="Times New Roman" w:hint="default"/>
        <w:b/>
        <w:bCs/>
        <w:spacing w:val="-7"/>
        <w:w w:val="97"/>
        <w:sz w:val="24"/>
        <w:szCs w:val="24"/>
      </w:rPr>
    </w:lvl>
    <w:lvl w:ilvl="2">
      <w:start w:val="1"/>
      <w:numFmt w:val="decimal"/>
      <w:lvlText w:val="%1.%2.%3"/>
      <w:lvlJc w:val="left"/>
      <w:pPr>
        <w:ind w:left="839" w:hanging="720"/>
        <w:jc w:val="right"/>
      </w:pPr>
      <w:rPr>
        <w:rFonts w:ascii="Times New Roman" w:eastAsia="Times New Roman" w:hAnsi="Times New Roman" w:cs="Times New Roman" w:hint="default"/>
        <w:spacing w:val="-12"/>
        <w:w w:val="97"/>
        <w:sz w:val="24"/>
        <w:szCs w:val="24"/>
      </w:rPr>
    </w:lvl>
    <w:lvl w:ilvl="3">
      <w:start w:val="1"/>
      <w:numFmt w:val="decimal"/>
      <w:lvlText w:val="%1.%2.%3.%4"/>
      <w:lvlJc w:val="left"/>
      <w:pPr>
        <w:ind w:left="479" w:hanging="720"/>
      </w:pPr>
      <w:rPr>
        <w:rFonts w:ascii="Times New Roman" w:eastAsia="Times New Roman" w:hAnsi="Times New Roman" w:cs="Times New Roman" w:hint="default"/>
        <w:spacing w:val="-6"/>
        <w:w w:val="97"/>
        <w:sz w:val="24"/>
        <w:szCs w:val="24"/>
      </w:rPr>
    </w:lvl>
    <w:lvl w:ilvl="4">
      <w:start w:val="1"/>
      <w:numFmt w:val="upperLetter"/>
      <w:lvlText w:val="%5."/>
      <w:lvlJc w:val="left"/>
      <w:pPr>
        <w:ind w:left="1199" w:hanging="360"/>
      </w:pPr>
      <w:rPr>
        <w:rFonts w:ascii="Times New Roman" w:eastAsia="Times New Roman" w:hAnsi="Times New Roman" w:cs="Times New Roman" w:hint="default"/>
        <w:spacing w:val="-1"/>
        <w:w w:val="97"/>
        <w:sz w:val="24"/>
        <w:szCs w:val="24"/>
      </w:rPr>
    </w:lvl>
    <w:lvl w:ilvl="5">
      <w:numFmt w:val="bullet"/>
      <w:lvlText w:val="•"/>
      <w:lvlJc w:val="left"/>
      <w:pPr>
        <w:ind w:left="3645" w:hanging="360"/>
      </w:pPr>
      <w:rPr>
        <w:rFonts w:hint="default"/>
      </w:rPr>
    </w:lvl>
    <w:lvl w:ilvl="6">
      <w:numFmt w:val="bullet"/>
      <w:lvlText w:val="•"/>
      <w:lvlJc w:val="left"/>
      <w:pPr>
        <w:ind w:left="4868" w:hanging="360"/>
      </w:pPr>
      <w:rPr>
        <w:rFonts w:hint="default"/>
      </w:rPr>
    </w:lvl>
    <w:lvl w:ilvl="7">
      <w:numFmt w:val="bullet"/>
      <w:lvlText w:val="•"/>
      <w:lvlJc w:val="left"/>
      <w:pPr>
        <w:ind w:left="6091" w:hanging="360"/>
      </w:pPr>
      <w:rPr>
        <w:rFonts w:hint="default"/>
      </w:rPr>
    </w:lvl>
    <w:lvl w:ilvl="8">
      <w:numFmt w:val="bullet"/>
      <w:lvlText w:val="•"/>
      <w:lvlJc w:val="left"/>
      <w:pPr>
        <w:ind w:left="7314" w:hanging="360"/>
      </w:pPr>
      <w:rPr>
        <w:rFonts w:hint="default"/>
      </w:rPr>
    </w:lvl>
  </w:abstractNum>
  <w:abstractNum w:abstractNumId="12" w15:restartNumberingAfterBreak="0">
    <w:nsid w:val="41713BBE"/>
    <w:multiLevelType w:val="hybridMultilevel"/>
    <w:tmpl w:val="6CF8D69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15:restartNumberingAfterBreak="0">
    <w:nsid w:val="4DA27E87"/>
    <w:multiLevelType w:val="multilevel"/>
    <w:tmpl w:val="C9067DAA"/>
    <w:lvl w:ilvl="0">
      <w:start w:val="1"/>
      <w:numFmt w:val="decimal"/>
      <w:lvlText w:val="%1"/>
      <w:lvlJc w:val="left"/>
      <w:pPr>
        <w:ind w:left="100" w:hanging="360"/>
      </w:pPr>
      <w:rPr>
        <w:rFonts w:hint="default"/>
      </w:rPr>
    </w:lvl>
    <w:lvl w:ilvl="1">
      <w:numFmt w:val="decimal"/>
      <w:lvlText w:val="%1.%2"/>
      <w:lvlJc w:val="left"/>
      <w:pPr>
        <w:ind w:left="100" w:hanging="360"/>
      </w:pPr>
      <w:rPr>
        <w:rFonts w:ascii="Times New Roman" w:eastAsia="Times New Roman" w:hAnsi="Times New Roman" w:cs="Times New Roman" w:hint="default"/>
        <w:spacing w:val="-2"/>
        <w:w w:val="99"/>
        <w:sz w:val="24"/>
        <w:szCs w:val="24"/>
      </w:rPr>
    </w:lvl>
    <w:lvl w:ilvl="2">
      <w:numFmt w:val="bullet"/>
      <w:lvlText w:val="•"/>
      <w:lvlJc w:val="left"/>
      <w:pPr>
        <w:ind w:left="1996" w:hanging="360"/>
      </w:pPr>
      <w:rPr>
        <w:rFonts w:hint="default"/>
      </w:rPr>
    </w:lvl>
    <w:lvl w:ilvl="3">
      <w:numFmt w:val="bullet"/>
      <w:lvlText w:val="•"/>
      <w:lvlJc w:val="left"/>
      <w:pPr>
        <w:ind w:left="2944" w:hanging="360"/>
      </w:pPr>
      <w:rPr>
        <w:rFonts w:hint="default"/>
      </w:rPr>
    </w:lvl>
    <w:lvl w:ilvl="4">
      <w:numFmt w:val="bullet"/>
      <w:lvlText w:val="•"/>
      <w:lvlJc w:val="left"/>
      <w:pPr>
        <w:ind w:left="3892" w:hanging="360"/>
      </w:pPr>
      <w:rPr>
        <w:rFonts w:hint="default"/>
      </w:rPr>
    </w:lvl>
    <w:lvl w:ilvl="5">
      <w:numFmt w:val="bullet"/>
      <w:lvlText w:val="•"/>
      <w:lvlJc w:val="left"/>
      <w:pPr>
        <w:ind w:left="4840" w:hanging="360"/>
      </w:pPr>
      <w:rPr>
        <w:rFonts w:hint="default"/>
      </w:rPr>
    </w:lvl>
    <w:lvl w:ilvl="6">
      <w:numFmt w:val="bullet"/>
      <w:lvlText w:val="•"/>
      <w:lvlJc w:val="left"/>
      <w:pPr>
        <w:ind w:left="5788" w:hanging="360"/>
      </w:pPr>
      <w:rPr>
        <w:rFonts w:hint="default"/>
      </w:rPr>
    </w:lvl>
    <w:lvl w:ilvl="7">
      <w:numFmt w:val="bullet"/>
      <w:lvlText w:val="•"/>
      <w:lvlJc w:val="left"/>
      <w:pPr>
        <w:ind w:left="6736" w:hanging="360"/>
      </w:pPr>
      <w:rPr>
        <w:rFonts w:hint="default"/>
      </w:rPr>
    </w:lvl>
    <w:lvl w:ilvl="8">
      <w:numFmt w:val="bullet"/>
      <w:lvlText w:val="•"/>
      <w:lvlJc w:val="left"/>
      <w:pPr>
        <w:ind w:left="7684" w:hanging="360"/>
      </w:pPr>
      <w:rPr>
        <w:rFonts w:hint="default"/>
      </w:rPr>
    </w:lvl>
  </w:abstractNum>
  <w:abstractNum w:abstractNumId="14" w15:restartNumberingAfterBreak="0">
    <w:nsid w:val="4DD942C4"/>
    <w:multiLevelType w:val="multilevel"/>
    <w:tmpl w:val="7F289DFA"/>
    <w:lvl w:ilvl="0">
      <w:start w:val="3"/>
      <w:numFmt w:val="decimal"/>
      <w:lvlText w:val="%1"/>
      <w:lvlJc w:val="left"/>
      <w:pPr>
        <w:ind w:left="911" w:hanging="540"/>
      </w:pPr>
      <w:rPr>
        <w:rFonts w:hint="default"/>
      </w:rPr>
    </w:lvl>
    <w:lvl w:ilvl="1">
      <w:start w:val="5"/>
      <w:numFmt w:val="decimal"/>
      <w:lvlText w:val="%1.%2"/>
      <w:lvlJc w:val="left"/>
      <w:pPr>
        <w:ind w:left="911" w:hanging="540"/>
      </w:pPr>
      <w:rPr>
        <w:rFonts w:hint="default"/>
      </w:rPr>
    </w:lvl>
    <w:lvl w:ilvl="2">
      <w:start w:val="3"/>
      <w:numFmt w:val="decimal"/>
      <w:lvlText w:val="%1.%2.%3"/>
      <w:lvlJc w:val="left"/>
      <w:pPr>
        <w:ind w:left="911" w:hanging="540"/>
      </w:pPr>
      <w:rPr>
        <w:rFonts w:ascii="Times New Roman" w:eastAsia="Times New Roman" w:hAnsi="Times New Roman" w:cs="Times New Roman" w:hint="default"/>
        <w:spacing w:val="-3"/>
        <w:w w:val="99"/>
        <w:sz w:val="24"/>
        <w:szCs w:val="24"/>
      </w:rPr>
    </w:lvl>
    <w:lvl w:ilvl="3">
      <w:start w:val="1"/>
      <w:numFmt w:val="decimal"/>
      <w:lvlText w:val="%1.%2.%3.%4"/>
      <w:lvlJc w:val="left"/>
      <w:pPr>
        <w:ind w:left="911" w:hanging="720"/>
      </w:pPr>
      <w:rPr>
        <w:rFonts w:ascii="Times New Roman" w:eastAsia="Times New Roman" w:hAnsi="Times New Roman" w:cs="Times New Roman" w:hint="default"/>
        <w:spacing w:val="-5"/>
        <w:w w:val="99"/>
        <w:sz w:val="24"/>
        <w:szCs w:val="24"/>
      </w:rPr>
    </w:lvl>
    <w:lvl w:ilvl="4">
      <w:numFmt w:val="bullet"/>
      <w:lvlText w:val="•"/>
      <w:lvlJc w:val="left"/>
      <w:pPr>
        <w:ind w:left="4400" w:hanging="720"/>
      </w:pPr>
      <w:rPr>
        <w:rFonts w:hint="default"/>
      </w:rPr>
    </w:lvl>
    <w:lvl w:ilvl="5">
      <w:numFmt w:val="bullet"/>
      <w:lvlText w:val="•"/>
      <w:lvlJc w:val="left"/>
      <w:pPr>
        <w:ind w:left="5270" w:hanging="720"/>
      </w:pPr>
      <w:rPr>
        <w:rFonts w:hint="default"/>
      </w:rPr>
    </w:lvl>
    <w:lvl w:ilvl="6">
      <w:numFmt w:val="bullet"/>
      <w:lvlText w:val="•"/>
      <w:lvlJc w:val="left"/>
      <w:pPr>
        <w:ind w:left="6140" w:hanging="720"/>
      </w:pPr>
      <w:rPr>
        <w:rFonts w:hint="default"/>
      </w:rPr>
    </w:lvl>
    <w:lvl w:ilvl="7">
      <w:numFmt w:val="bullet"/>
      <w:lvlText w:val="•"/>
      <w:lvlJc w:val="left"/>
      <w:pPr>
        <w:ind w:left="7010" w:hanging="720"/>
      </w:pPr>
      <w:rPr>
        <w:rFonts w:hint="default"/>
      </w:rPr>
    </w:lvl>
    <w:lvl w:ilvl="8">
      <w:numFmt w:val="bullet"/>
      <w:lvlText w:val="•"/>
      <w:lvlJc w:val="left"/>
      <w:pPr>
        <w:ind w:left="7880" w:hanging="720"/>
      </w:pPr>
      <w:rPr>
        <w:rFonts w:hint="default"/>
      </w:rPr>
    </w:lvl>
  </w:abstractNum>
  <w:abstractNum w:abstractNumId="15" w15:restartNumberingAfterBreak="0">
    <w:nsid w:val="59765712"/>
    <w:multiLevelType w:val="multilevel"/>
    <w:tmpl w:val="008C49AE"/>
    <w:lvl w:ilvl="0">
      <w:start w:val="2"/>
      <w:numFmt w:val="decimal"/>
      <w:lvlText w:val="%1"/>
      <w:lvlJc w:val="left"/>
      <w:pPr>
        <w:ind w:left="100" w:hanging="360"/>
      </w:pPr>
      <w:rPr>
        <w:rFonts w:hint="default"/>
      </w:rPr>
    </w:lvl>
    <w:lvl w:ilvl="1">
      <w:numFmt w:val="decimal"/>
      <w:lvlText w:val="%1.%2"/>
      <w:lvlJc w:val="left"/>
      <w:pPr>
        <w:ind w:left="100" w:hanging="360"/>
      </w:pPr>
      <w:rPr>
        <w:rFonts w:hint="default"/>
        <w:b/>
        <w:bCs/>
        <w:spacing w:val="-3"/>
        <w:w w:val="99"/>
      </w:rPr>
    </w:lvl>
    <w:lvl w:ilvl="2">
      <w:start w:val="1"/>
      <w:numFmt w:val="decimal"/>
      <w:lvlText w:val="%1.%2.%3"/>
      <w:lvlJc w:val="left"/>
      <w:pPr>
        <w:ind w:left="820" w:hanging="543"/>
      </w:pPr>
      <w:rPr>
        <w:rFonts w:ascii="Times New Roman" w:eastAsia="Times New Roman" w:hAnsi="Times New Roman" w:cs="Times New Roman" w:hint="default"/>
        <w:w w:val="100"/>
        <w:sz w:val="24"/>
        <w:szCs w:val="24"/>
      </w:rPr>
    </w:lvl>
    <w:lvl w:ilvl="3">
      <w:numFmt w:val="bullet"/>
      <w:lvlText w:val="•"/>
      <w:lvlJc w:val="left"/>
      <w:pPr>
        <w:ind w:left="2766" w:hanging="543"/>
      </w:pPr>
      <w:rPr>
        <w:rFonts w:hint="default"/>
      </w:rPr>
    </w:lvl>
    <w:lvl w:ilvl="4">
      <w:numFmt w:val="bullet"/>
      <w:lvlText w:val="•"/>
      <w:lvlJc w:val="left"/>
      <w:pPr>
        <w:ind w:left="3740" w:hanging="543"/>
      </w:pPr>
      <w:rPr>
        <w:rFonts w:hint="default"/>
      </w:rPr>
    </w:lvl>
    <w:lvl w:ilvl="5">
      <w:numFmt w:val="bullet"/>
      <w:lvlText w:val="•"/>
      <w:lvlJc w:val="left"/>
      <w:pPr>
        <w:ind w:left="4713" w:hanging="543"/>
      </w:pPr>
      <w:rPr>
        <w:rFonts w:hint="default"/>
      </w:rPr>
    </w:lvl>
    <w:lvl w:ilvl="6">
      <w:numFmt w:val="bullet"/>
      <w:lvlText w:val="•"/>
      <w:lvlJc w:val="left"/>
      <w:pPr>
        <w:ind w:left="5686" w:hanging="543"/>
      </w:pPr>
      <w:rPr>
        <w:rFonts w:hint="default"/>
      </w:rPr>
    </w:lvl>
    <w:lvl w:ilvl="7">
      <w:numFmt w:val="bullet"/>
      <w:lvlText w:val="•"/>
      <w:lvlJc w:val="left"/>
      <w:pPr>
        <w:ind w:left="6660" w:hanging="543"/>
      </w:pPr>
      <w:rPr>
        <w:rFonts w:hint="default"/>
      </w:rPr>
    </w:lvl>
    <w:lvl w:ilvl="8">
      <w:numFmt w:val="bullet"/>
      <w:lvlText w:val="•"/>
      <w:lvlJc w:val="left"/>
      <w:pPr>
        <w:ind w:left="7633" w:hanging="543"/>
      </w:pPr>
      <w:rPr>
        <w:rFonts w:hint="default"/>
      </w:rPr>
    </w:lvl>
  </w:abstractNum>
  <w:abstractNum w:abstractNumId="16" w15:restartNumberingAfterBreak="0">
    <w:nsid w:val="62383EC2"/>
    <w:multiLevelType w:val="multilevel"/>
    <w:tmpl w:val="2C40EBE8"/>
    <w:lvl w:ilvl="0">
      <w:start w:val="3"/>
      <w:numFmt w:val="decimal"/>
      <w:lvlText w:val="%1"/>
      <w:lvlJc w:val="left"/>
      <w:pPr>
        <w:ind w:left="1360" w:hanging="540"/>
      </w:pPr>
      <w:rPr>
        <w:rFonts w:hint="default"/>
      </w:rPr>
    </w:lvl>
    <w:lvl w:ilvl="1">
      <w:start w:val="4"/>
      <w:numFmt w:val="decimal"/>
      <w:lvlText w:val="%1.%2"/>
      <w:lvlJc w:val="left"/>
      <w:pPr>
        <w:ind w:left="1360" w:hanging="540"/>
        <w:jc w:val="right"/>
      </w:pPr>
      <w:rPr>
        <w:rFonts w:hint="default"/>
      </w:rPr>
    </w:lvl>
    <w:lvl w:ilvl="2">
      <w:start w:val="3"/>
      <w:numFmt w:val="decimal"/>
      <w:lvlText w:val="%1.%2.%3"/>
      <w:lvlJc w:val="left"/>
      <w:pPr>
        <w:ind w:left="1360" w:hanging="540"/>
      </w:pPr>
      <w:rPr>
        <w:rFonts w:ascii="Times New Roman" w:eastAsia="Times New Roman" w:hAnsi="Times New Roman" w:cs="Times New Roman" w:hint="default"/>
        <w:spacing w:val="-3"/>
        <w:w w:val="99"/>
        <w:sz w:val="24"/>
        <w:szCs w:val="24"/>
      </w:rPr>
    </w:lvl>
    <w:lvl w:ilvl="3">
      <w:start w:val="1"/>
      <w:numFmt w:val="decimal"/>
      <w:lvlText w:val="%1.%2.%3.%4."/>
      <w:lvlJc w:val="left"/>
      <w:pPr>
        <w:ind w:left="820" w:hanging="780"/>
      </w:pPr>
      <w:rPr>
        <w:rFonts w:ascii="Times New Roman" w:eastAsia="Times New Roman" w:hAnsi="Times New Roman" w:cs="Times New Roman" w:hint="default"/>
        <w:spacing w:val="-5"/>
        <w:w w:val="99"/>
        <w:sz w:val="24"/>
        <w:szCs w:val="24"/>
      </w:rPr>
    </w:lvl>
    <w:lvl w:ilvl="4">
      <w:numFmt w:val="bullet"/>
      <w:lvlText w:val="•"/>
      <w:lvlJc w:val="left"/>
      <w:pPr>
        <w:ind w:left="4100" w:hanging="780"/>
      </w:pPr>
      <w:rPr>
        <w:rFonts w:hint="default"/>
      </w:rPr>
    </w:lvl>
    <w:lvl w:ilvl="5">
      <w:numFmt w:val="bullet"/>
      <w:lvlText w:val="•"/>
      <w:lvlJc w:val="left"/>
      <w:pPr>
        <w:ind w:left="5013" w:hanging="780"/>
      </w:pPr>
      <w:rPr>
        <w:rFonts w:hint="default"/>
      </w:rPr>
    </w:lvl>
    <w:lvl w:ilvl="6">
      <w:numFmt w:val="bullet"/>
      <w:lvlText w:val="•"/>
      <w:lvlJc w:val="left"/>
      <w:pPr>
        <w:ind w:left="5926" w:hanging="780"/>
      </w:pPr>
      <w:rPr>
        <w:rFonts w:hint="default"/>
      </w:rPr>
    </w:lvl>
    <w:lvl w:ilvl="7">
      <w:numFmt w:val="bullet"/>
      <w:lvlText w:val="•"/>
      <w:lvlJc w:val="left"/>
      <w:pPr>
        <w:ind w:left="6840" w:hanging="780"/>
      </w:pPr>
      <w:rPr>
        <w:rFonts w:hint="default"/>
      </w:rPr>
    </w:lvl>
    <w:lvl w:ilvl="8">
      <w:numFmt w:val="bullet"/>
      <w:lvlText w:val="•"/>
      <w:lvlJc w:val="left"/>
      <w:pPr>
        <w:ind w:left="7753" w:hanging="780"/>
      </w:pPr>
      <w:rPr>
        <w:rFonts w:hint="default"/>
      </w:rPr>
    </w:lvl>
  </w:abstractNum>
  <w:abstractNum w:abstractNumId="17" w15:restartNumberingAfterBreak="0">
    <w:nsid w:val="626216A1"/>
    <w:multiLevelType w:val="multilevel"/>
    <w:tmpl w:val="B186FBB8"/>
    <w:lvl w:ilvl="0">
      <w:start w:val="3"/>
      <w:numFmt w:val="decimal"/>
      <w:lvlText w:val="%1"/>
      <w:lvlJc w:val="left"/>
      <w:pPr>
        <w:ind w:left="820" w:hanging="540"/>
      </w:pPr>
      <w:rPr>
        <w:rFonts w:hint="default"/>
      </w:rPr>
    </w:lvl>
    <w:lvl w:ilvl="1">
      <w:start w:val="5"/>
      <w:numFmt w:val="decimal"/>
      <w:lvlText w:val="%1.%2"/>
      <w:lvlJc w:val="left"/>
      <w:pPr>
        <w:ind w:left="820" w:hanging="540"/>
      </w:pPr>
      <w:rPr>
        <w:rFonts w:hint="default"/>
      </w:rPr>
    </w:lvl>
    <w:lvl w:ilvl="2">
      <w:start w:val="1"/>
      <w:numFmt w:val="decimal"/>
      <w:lvlText w:val="%1.%2.%3"/>
      <w:lvlJc w:val="left"/>
      <w:pPr>
        <w:ind w:left="820" w:hanging="540"/>
      </w:pPr>
      <w:rPr>
        <w:rFonts w:ascii="Times New Roman" w:eastAsia="Times New Roman" w:hAnsi="Times New Roman" w:cs="Times New Roman" w:hint="default"/>
        <w:spacing w:val="-2"/>
        <w:w w:val="99"/>
        <w:sz w:val="24"/>
        <w:szCs w:val="24"/>
      </w:rPr>
    </w:lvl>
    <w:lvl w:ilvl="3">
      <w:numFmt w:val="bullet"/>
      <w:lvlText w:val="•"/>
      <w:lvlJc w:val="left"/>
      <w:pPr>
        <w:ind w:left="3448" w:hanging="540"/>
      </w:pPr>
      <w:rPr>
        <w:rFonts w:hint="default"/>
      </w:rPr>
    </w:lvl>
    <w:lvl w:ilvl="4">
      <w:numFmt w:val="bullet"/>
      <w:lvlText w:val="•"/>
      <w:lvlJc w:val="left"/>
      <w:pPr>
        <w:ind w:left="4324" w:hanging="540"/>
      </w:pPr>
      <w:rPr>
        <w:rFonts w:hint="default"/>
      </w:rPr>
    </w:lvl>
    <w:lvl w:ilvl="5">
      <w:numFmt w:val="bullet"/>
      <w:lvlText w:val="•"/>
      <w:lvlJc w:val="left"/>
      <w:pPr>
        <w:ind w:left="5200" w:hanging="540"/>
      </w:pPr>
      <w:rPr>
        <w:rFonts w:hint="default"/>
      </w:rPr>
    </w:lvl>
    <w:lvl w:ilvl="6">
      <w:numFmt w:val="bullet"/>
      <w:lvlText w:val="•"/>
      <w:lvlJc w:val="left"/>
      <w:pPr>
        <w:ind w:left="6076" w:hanging="540"/>
      </w:pPr>
      <w:rPr>
        <w:rFonts w:hint="default"/>
      </w:rPr>
    </w:lvl>
    <w:lvl w:ilvl="7">
      <w:numFmt w:val="bullet"/>
      <w:lvlText w:val="•"/>
      <w:lvlJc w:val="left"/>
      <w:pPr>
        <w:ind w:left="6952" w:hanging="540"/>
      </w:pPr>
      <w:rPr>
        <w:rFonts w:hint="default"/>
      </w:rPr>
    </w:lvl>
    <w:lvl w:ilvl="8">
      <w:numFmt w:val="bullet"/>
      <w:lvlText w:val="•"/>
      <w:lvlJc w:val="left"/>
      <w:pPr>
        <w:ind w:left="7828" w:hanging="540"/>
      </w:pPr>
      <w:rPr>
        <w:rFonts w:hint="default"/>
      </w:rPr>
    </w:lvl>
  </w:abstractNum>
  <w:abstractNum w:abstractNumId="18" w15:restartNumberingAfterBreak="0">
    <w:nsid w:val="64AF6677"/>
    <w:multiLevelType w:val="hybridMultilevel"/>
    <w:tmpl w:val="6A884818"/>
    <w:lvl w:ilvl="0" w:tplc="CA407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B520EF"/>
    <w:multiLevelType w:val="hybridMultilevel"/>
    <w:tmpl w:val="B7828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2107690">
    <w:abstractNumId w:val="14"/>
  </w:num>
  <w:num w:numId="2" w16cid:durableId="358891469">
    <w:abstractNumId w:val="8"/>
  </w:num>
  <w:num w:numId="3" w16cid:durableId="1001663381">
    <w:abstractNumId w:val="2"/>
  </w:num>
  <w:num w:numId="4" w16cid:durableId="479923189">
    <w:abstractNumId w:val="17"/>
  </w:num>
  <w:num w:numId="5" w16cid:durableId="449974638">
    <w:abstractNumId w:val="16"/>
  </w:num>
  <w:num w:numId="6" w16cid:durableId="2024739961">
    <w:abstractNumId w:val="1"/>
  </w:num>
  <w:num w:numId="7" w16cid:durableId="727799110">
    <w:abstractNumId w:val="6"/>
  </w:num>
  <w:num w:numId="8" w16cid:durableId="1065687414">
    <w:abstractNumId w:val="9"/>
  </w:num>
  <w:num w:numId="9" w16cid:durableId="1330789385">
    <w:abstractNumId w:val="3"/>
  </w:num>
  <w:num w:numId="10" w16cid:durableId="37244929">
    <w:abstractNumId w:val="15"/>
  </w:num>
  <w:num w:numId="11" w16cid:durableId="1701124851">
    <w:abstractNumId w:val="13"/>
  </w:num>
  <w:num w:numId="12" w16cid:durableId="930161026">
    <w:abstractNumId w:val="11"/>
  </w:num>
  <w:num w:numId="13" w16cid:durableId="2886307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4" w16cid:durableId="1314022215">
    <w:abstractNumId w:val="7"/>
  </w:num>
  <w:num w:numId="15" w16cid:durableId="821238047">
    <w:abstractNumId w:val="10"/>
  </w:num>
  <w:num w:numId="16" w16cid:durableId="1897348612">
    <w:abstractNumId w:val="18"/>
  </w:num>
  <w:num w:numId="17" w16cid:durableId="1301107491">
    <w:abstractNumId w:val="5"/>
  </w:num>
  <w:num w:numId="18" w16cid:durableId="1382048018">
    <w:abstractNumId w:val="12"/>
  </w:num>
  <w:num w:numId="19" w16cid:durableId="468784854">
    <w:abstractNumId w:val="0"/>
  </w:num>
  <w:num w:numId="20" w16cid:durableId="100173367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DF2"/>
    <w:rsid w:val="00001556"/>
    <w:rsid w:val="0000417A"/>
    <w:rsid w:val="00006BEF"/>
    <w:rsid w:val="00017093"/>
    <w:rsid w:val="0002461B"/>
    <w:rsid w:val="00063CD0"/>
    <w:rsid w:val="00065CBD"/>
    <w:rsid w:val="00066D76"/>
    <w:rsid w:val="000740D3"/>
    <w:rsid w:val="00077C0F"/>
    <w:rsid w:val="00077CA4"/>
    <w:rsid w:val="00077EB6"/>
    <w:rsid w:val="000803C9"/>
    <w:rsid w:val="00081021"/>
    <w:rsid w:val="000837AB"/>
    <w:rsid w:val="000A722B"/>
    <w:rsid w:val="000B766C"/>
    <w:rsid w:val="000C21B0"/>
    <w:rsid w:val="000C2B7F"/>
    <w:rsid w:val="000D3D39"/>
    <w:rsid w:val="000D679F"/>
    <w:rsid w:val="000E024D"/>
    <w:rsid w:val="000F083B"/>
    <w:rsid w:val="000F1DB4"/>
    <w:rsid w:val="00112622"/>
    <w:rsid w:val="00113356"/>
    <w:rsid w:val="00130D4F"/>
    <w:rsid w:val="00133AE7"/>
    <w:rsid w:val="0013488F"/>
    <w:rsid w:val="00135C22"/>
    <w:rsid w:val="00146EB7"/>
    <w:rsid w:val="0015758D"/>
    <w:rsid w:val="0015790E"/>
    <w:rsid w:val="0016161D"/>
    <w:rsid w:val="001622E1"/>
    <w:rsid w:val="00173B79"/>
    <w:rsid w:val="00181439"/>
    <w:rsid w:val="00182754"/>
    <w:rsid w:val="00191221"/>
    <w:rsid w:val="001A2925"/>
    <w:rsid w:val="001A45C4"/>
    <w:rsid w:val="001B6476"/>
    <w:rsid w:val="001C0D9B"/>
    <w:rsid w:val="001F79B0"/>
    <w:rsid w:val="0021027F"/>
    <w:rsid w:val="002152BA"/>
    <w:rsid w:val="00215BDA"/>
    <w:rsid w:val="00217A13"/>
    <w:rsid w:val="002206D1"/>
    <w:rsid w:val="0025262D"/>
    <w:rsid w:val="002532A2"/>
    <w:rsid w:val="002574D5"/>
    <w:rsid w:val="00260BB5"/>
    <w:rsid w:val="00264A44"/>
    <w:rsid w:val="00270C13"/>
    <w:rsid w:val="00273E63"/>
    <w:rsid w:val="00283648"/>
    <w:rsid w:val="002A277C"/>
    <w:rsid w:val="002B4A2D"/>
    <w:rsid w:val="002C4852"/>
    <w:rsid w:val="002D13DD"/>
    <w:rsid w:val="002D4A71"/>
    <w:rsid w:val="002D7E5C"/>
    <w:rsid w:val="002E0504"/>
    <w:rsid w:val="002E553D"/>
    <w:rsid w:val="002F49DD"/>
    <w:rsid w:val="002F4E5C"/>
    <w:rsid w:val="002F69AD"/>
    <w:rsid w:val="00302314"/>
    <w:rsid w:val="00307C34"/>
    <w:rsid w:val="003126E9"/>
    <w:rsid w:val="003241E3"/>
    <w:rsid w:val="003501B2"/>
    <w:rsid w:val="00377C34"/>
    <w:rsid w:val="003839F5"/>
    <w:rsid w:val="00385E12"/>
    <w:rsid w:val="00390688"/>
    <w:rsid w:val="00391CD0"/>
    <w:rsid w:val="0039209E"/>
    <w:rsid w:val="003A6C08"/>
    <w:rsid w:val="003B1CC1"/>
    <w:rsid w:val="003B4EA0"/>
    <w:rsid w:val="003B5B54"/>
    <w:rsid w:val="003C49FD"/>
    <w:rsid w:val="003C6D5B"/>
    <w:rsid w:val="003C791A"/>
    <w:rsid w:val="003D50EB"/>
    <w:rsid w:val="003E1B3A"/>
    <w:rsid w:val="003F6537"/>
    <w:rsid w:val="00404DEB"/>
    <w:rsid w:val="00421175"/>
    <w:rsid w:val="00424D58"/>
    <w:rsid w:val="004278F1"/>
    <w:rsid w:val="00440C5F"/>
    <w:rsid w:val="00444815"/>
    <w:rsid w:val="00446C15"/>
    <w:rsid w:val="0044731C"/>
    <w:rsid w:val="004524A1"/>
    <w:rsid w:val="00461163"/>
    <w:rsid w:val="004621DC"/>
    <w:rsid w:val="00463173"/>
    <w:rsid w:val="00465126"/>
    <w:rsid w:val="004951AD"/>
    <w:rsid w:val="004A4F08"/>
    <w:rsid w:val="004A6595"/>
    <w:rsid w:val="004B7012"/>
    <w:rsid w:val="004C0B5B"/>
    <w:rsid w:val="004C71A7"/>
    <w:rsid w:val="004D5575"/>
    <w:rsid w:val="004D5FAA"/>
    <w:rsid w:val="004E332C"/>
    <w:rsid w:val="004E697A"/>
    <w:rsid w:val="004F7130"/>
    <w:rsid w:val="00512742"/>
    <w:rsid w:val="00524A23"/>
    <w:rsid w:val="0053697A"/>
    <w:rsid w:val="00544FA0"/>
    <w:rsid w:val="005450A1"/>
    <w:rsid w:val="0054527D"/>
    <w:rsid w:val="005523DA"/>
    <w:rsid w:val="005547EB"/>
    <w:rsid w:val="00560BEF"/>
    <w:rsid w:val="00575F5A"/>
    <w:rsid w:val="00582991"/>
    <w:rsid w:val="00582FA6"/>
    <w:rsid w:val="0058495D"/>
    <w:rsid w:val="005915EC"/>
    <w:rsid w:val="0059551D"/>
    <w:rsid w:val="005C3E39"/>
    <w:rsid w:val="005C4D57"/>
    <w:rsid w:val="005E53C9"/>
    <w:rsid w:val="005F518D"/>
    <w:rsid w:val="006123FF"/>
    <w:rsid w:val="00620FA6"/>
    <w:rsid w:val="00626912"/>
    <w:rsid w:val="006323AD"/>
    <w:rsid w:val="0065381C"/>
    <w:rsid w:val="0065560C"/>
    <w:rsid w:val="00695978"/>
    <w:rsid w:val="006A2A46"/>
    <w:rsid w:val="006A432F"/>
    <w:rsid w:val="006B579B"/>
    <w:rsid w:val="006D3640"/>
    <w:rsid w:val="006E0B9F"/>
    <w:rsid w:val="006E346B"/>
    <w:rsid w:val="006E6F79"/>
    <w:rsid w:val="00703CC4"/>
    <w:rsid w:val="0070513E"/>
    <w:rsid w:val="00715B3B"/>
    <w:rsid w:val="00720799"/>
    <w:rsid w:val="00727CDA"/>
    <w:rsid w:val="00740ABA"/>
    <w:rsid w:val="00744056"/>
    <w:rsid w:val="00745460"/>
    <w:rsid w:val="00751C18"/>
    <w:rsid w:val="0075355F"/>
    <w:rsid w:val="00756018"/>
    <w:rsid w:val="00771EE9"/>
    <w:rsid w:val="00777531"/>
    <w:rsid w:val="007840F3"/>
    <w:rsid w:val="0078650E"/>
    <w:rsid w:val="007B11DE"/>
    <w:rsid w:val="007C26E9"/>
    <w:rsid w:val="007E6306"/>
    <w:rsid w:val="007F411D"/>
    <w:rsid w:val="00801172"/>
    <w:rsid w:val="0080191D"/>
    <w:rsid w:val="00811675"/>
    <w:rsid w:val="00823240"/>
    <w:rsid w:val="00831723"/>
    <w:rsid w:val="0084020E"/>
    <w:rsid w:val="008423B7"/>
    <w:rsid w:val="00855E0A"/>
    <w:rsid w:val="008635D5"/>
    <w:rsid w:val="00883E56"/>
    <w:rsid w:val="00893C45"/>
    <w:rsid w:val="00895034"/>
    <w:rsid w:val="008A2505"/>
    <w:rsid w:val="008B049F"/>
    <w:rsid w:val="008C0465"/>
    <w:rsid w:val="008C1224"/>
    <w:rsid w:val="008C32AD"/>
    <w:rsid w:val="008C52BE"/>
    <w:rsid w:val="008D1DCF"/>
    <w:rsid w:val="008E19CD"/>
    <w:rsid w:val="008E5654"/>
    <w:rsid w:val="008E6844"/>
    <w:rsid w:val="008F1D9B"/>
    <w:rsid w:val="0090009A"/>
    <w:rsid w:val="009018A9"/>
    <w:rsid w:val="00902BE2"/>
    <w:rsid w:val="00905D19"/>
    <w:rsid w:val="00907362"/>
    <w:rsid w:val="00907D8E"/>
    <w:rsid w:val="00912DB9"/>
    <w:rsid w:val="0091681F"/>
    <w:rsid w:val="00925255"/>
    <w:rsid w:val="00925827"/>
    <w:rsid w:val="0092592D"/>
    <w:rsid w:val="0093193E"/>
    <w:rsid w:val="00931DF2"/>
    <w:rsid w:val="00935C64"/>
    <w:rsid w:val="00935CA4"/>
    <w:rsid w:val="00965AC2"/>
    <w:rsid w:val="00970C3E"/>
    <w:rsid w:val="009732BA"/>
    <w:rsid w:val="009768C7"/>
    <w:rsid w:val="00976FE8"/>
    <w:rsid w:val="009B033F"/>
    <w:rsid w:val="009C5BB4"/>
    <w:rsid w:val="009C7244"/>
    <w:rsid w:val="009D0094"/>
    <w:rsid w:val="009D70BA"/>
    <w:rsid w:val="00A03E7F"/>
    <w:rsid w:val="00A16AA1"/>
    <w:rsid w:val="00A34DF0"/>
    <w:rsid w:val="00A40C0E"/>
    <w:rsid w:val="00A4273A"/>
    <w:rsid w:val="00A55436"/>
    <w:rsid w:val="00A71A03"/>
    <w:rsid w:val="00A7432A"/>
    <w:rsid w:val="00A96D7A"/>
    <w:rsid w:val="00A97346"/>
    <w:rsid w:val="00A97679"/>
    <w:rsid w:val="00AA2303"/>
    <w:rsid w:val="00AB3A0B"/>
    <w:rsid w:val="00AC551C"/>
    <w:rsid w:val="00AD347F"/>
    <w:rsid w:val="00AD53BB"/>
    <w:rsid w:val="00AE7411"/>
    <w:rsid w:val="00AF01A5"/>
    <w:rsid w:val="00AF6B17"/>
    <w:rsid w:val="00B02EF7"/>
    <w:rsid w:val="00B13C51"/>
    <w:rsid w:val="00B21CB5"/>
    <w:rsid w:val="00B23E0A"/>
    <w:rsid w:val="00B2672E"/>
    <w:rsid w:val="00B32889"/>
    <w:rsid w:val="00B3365F"/>
    <w:rsid w:val="00B4440A"/>
    <w:rsid w:val="00B52F2D"/>
    <w:rsid w:val="00B54A0C"/>
    <w:rsid w:val="00B644FA"/>
    <w:rsid w:val="00B66474"/>
    <w:rsid w:val="00B66AFE"/>
    <w:rsid w:val="00B6759B"/>
    <w:rsid w:val="00B753AA"/>
    <w:rsid w:val="00B87721"/>
    <w:rsid w:val="00B879E8"/>
    <w:rsid w:val="00B90230"/>
    <w:rsid w:val="00B921A4"/>
    <w:rsid w:val="00B93048"/>
    <w:rsid w:val="00B94D57"/>
    <w:rsid w:val="00B950F9"/>
    <w:rsid w:val="00B97A20"/>
    <w:rsid w:val="00BA3478"/>
    <w:rsid w:val="00BA7635"/>
    <w:rsid w:val="00BA7FA0"/>
    <w:rsid w:val="00BC03A5"/>
    <w:rsid w:val="00BC4725"/>
    <w:rsid w:val="00BF3CD3"/>
    <w:rsid w:val="00BF4942"/>
    <w:rsid w:val="00BF6783"/>
    <w:rsid w:val="00BF7E3C"/>
    <w:rsid w:val="00C004A2"/>
    <w:rsid w:val="00C05824"/>
    <w:rsid w:val="00C07A91"/>
    <w:rsid w:val="00C113C4"/>
    <w:rsid w:val="00C12622"/>
    <w:rsid w:val="00C16A22"/>
    <w:rsid w:val="00C31AD5"/>
    <w:rsid w:val="00C348C4"/>
    <w:rsid w:val="00C57395"/>
    <w:rsid w:val="00C57B0C"/>
    <w:rsid w:val="00C60430"/>
    <w:rsid w:val="00C621EC"/>
    <w:rsid w:val="00C71D47"/>
    <w:rsid w:val="00C77E5C"/>
    <w:rsid w:val="00C90DAC"/>
    <w:rsid w:val="00C97143"/>
    <w:rsid w:val="00CB3E10"/>
    <w:rsid w:val="00CC11C0"/>
    <w:rsid w:val="00CC20B0"/>
    <w:rsid w:val="00CC27E0"/>
    <w:rsid w:val="00CC5F6A"/>
    <w:rsid w:val="00CE6EE4"/>
    <w:rsid w:val="00D02939"/>
    <w:rsid w:val="00D2109C"/>
    <w:rsid w:val="00D24D49"/>
    <w:rsid w:val="00D30ECE"/>
    <w:rsid w:val="00D3345F"/>
    <w:rsid w:val="00D4197B"/>
    <w:rsid w:val="00D433A2"/>
    <w:rsid w:val="00D46875"/>
    <w:rsid w:val="00D47200"/>
    <w:rsid w:val="00D54A99"/>
    <w:rsid w:val="00D67805"/>
    <w:rsid w:val="00D67A33"/>
    <w:rsid w:val="00D70361"/>
    <w:rsid w:val="00D76934"/>
    <w:rsid w:val="00D8617C"/>
    <w:rsid w:val="00D8619E"/>
    <w:rsid w:val="00D8654D"/>
    <w:rsid w:val="00D87CEC"/>
    <w:rsid w:val="00D949DB"/>
    <w:rsid w:val="00D96C03"/>
    <w:rsid w:val="00DC7DEC"/>
    <w:rsid w:val="00DE0BA0"/>
    <w:rsid w:val="00DE17D9"/>
    <w:rsid w:val="00DE2408"/>
    <w:rsid w:val="00DF429A"/>
    <w:rsid w:val="00E02E34"/>
    <w:rsid w:val="00E12C56"/>
    <w:rsid w:val="00E15722"/>
    <w:rsid w:val="00E17CDD"/>
    <w:rsid w:val="00E254B8"/>
    <w:rsid w:val="00E2618E"/>
    <w:rsid w:val="00E42F62"/>
    <w:rsid w:val="00E47D6D"/>
    <w:rsid w:val="00E55AF4"/>
    <w:rsid w:val="00E562DC"/>
    <w:rsid w:val="00E67166"/>
    <w:rsid w:val="00E709F0"/>
    <w:rsid w:val="00E82AAA"/>
    <w:rsid w:val="00E9295F"/>
    <w:rsid w:val="00EA2D49"/>
    <w:rsid w:val="00EB2C12"/>
    <w:rsid w:val="00EB739F"/>
    <w:rsid w:val="00EC190C"/>
    <w:rsid w:val="00EC5AA6"/>
    <w:rsid w:val="00ED27A8"/>
    <w:rsid w:val="00EF07DB"/>
    <w:rsid w:val="00F12898"/>
    <w:rsid w:val="00F15917"/>
    <w:rsid w:val="00F314B7"/>
    <w:rsid w:val="00F3296D"/>
    <w:rsid w:val="00F363F4"/>
    <w:rsid w:val="00F369A0"/>
    <w:rsid w:val="00F56790"/>
    <w:rsid w:val="00F72F47"/>
    <w:rsid w:val="00F80E79"/>
    <w:rsid w:val="00F86DD9"/>
    <w:rsid w:val="00F87EE9"/>
    <w:rsid w:val="00F97AFD"/>
    <w:rsid w:val="00FA2F77"/>
    <w:rsid w:val="00FA71A0"/>
    <w:rsid w:val="00FB2216"/>
    <w:rsid w:val="00FB2BC7"/>
    <w:rsid w:val="00FC5E53"/>
    <w:rsid w:val="00FD2641"/>
    <w:rsid w:val="00FD4B68"/>
    <w:rsid w:val="00FE2CB6"/>
    <w:rsid w:val="00FF030D"/>
    <w:rsid w:val="00FF0E4F"/>
    <w:rsid w:val="00FF6334"/>
    <w:rsid w:val="00FF73B3"/>
    <w:rsid w:val="00FF79EA"/>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0F1EF"/>
  <w15:docId w15:val="{F2CCFD06-79DE-429B-A7E3-3B58BBF7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0191D"/>
    <w:rPr>
      <w:rFonts w:ascii="Times New Roman" w:eastAsia="Times New Roman" w:hAnsi="Times New Roman" w:cs="Times New Roman"/>
    </w:rPr>
  </w:style>
  <w:style w:type="paragraph" w:styleId="Heading1">
    <w:name w:val="heading 1"/>
    <w:basedOn w:val="Normal"/>
    <w:link w:val="Heading1Char"/>
    <w:uiPriority w:val="1"/>
    <w:qFormat/>
    <w:pPr>
      <w:ind w:left="640" w:hanging="5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10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7432A"/>
    <w:pPr>
      <w:tabs>
        <w:tab w:val="center" w:pos="4680"/>
        <w:tab w:val="right" w:pos="9360"/>
      </w:tabs>
    </w:pPr>
  </w:style>
  <w:style w:type="character" w:customStyle="1" w:styleId="HeaderChar">
    <w:name w:val="Header Char"/>
    <w:basedOn w:val="DefaultParagraphFont"/>
    <w:link w:val="Header"/>
    <w:uiPriority w:val="99"/>
    <w:rsid w:val="00A7432A"/>
    <w:rPr>
      <w:rFonts w:ascii="Times New Roman" w:eastAsia="Times New Roman" w:hAnsi="Times New Roman" w:cs="Times New Roman"/>
    </w:rPr>
  </w:style>
  <w:style w:type="paragraph" w:styleId="Footer">
    <w:name w:val="footer"/>
    <w:basedOn w:val="Normal"/>
    <w:link w:val="FooterChar"/>
    <w:uiPriority w:val="99"/>
    <w:unhideWhenUsed/>
    <w:rsid w:val="00A7432A"/>
    <w:pPr>
      <w:tabs>
        <w:tab w:val="center" w:pos="4680"/>
        <w:tab w:val="right" w:pos="9360"/>
      </w:tabs>
    </w:pPr>
  </w:style>
  <w:style w:type="character" w:customStyle="1" w:styleId="FooterChar">
    <w:name w:val="Footer Char"/>
    <w:basedOn w:val="DefaultParagraphFont"/>
    <w:link w:val="Footer"/>
    <w:uiPriority w:val="99"/>
    <w:rsid w:val="00A7432A"/>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B94D57"/>
    <w:rPr>
      <w:sz w:val="16"/>
      <w:szCs w:val="16"/>
    </w:rPr>
  </w:style>
  <w:style w:type="paragraph" w:styleId="CommentText">
    <w:name w:val="annotation text"/>
    <w:basedOn w:val="Normal"/>
    <w:link w:val="CommentTextChar"/>
    <w:uiPriority w:val="99"/>
    <w:unhideWhenUsed/>
    <w:rsid w:val="00B94D57"/>
    <w:rPr>
      <w:sz w:val="20"/>
      <w:szCs w:val="20"/>
    </w:rPr>
  </w:style>
  <w:style w:type="character" w:customStyle="1" w:styleId="CommentTextChar">
    <w:name w:val="Comment Text Char"/>
    <w:basedOn w:val="DefaultParagraphFont"/>
    <w:link w:val="CommentText"/>
    <w:uiPriority w:val="99"/>
    <w:rsid w:val="00B94D5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4D57"/>
    <w:rPr>
      <w:b/>
      <w:bCs/>
    </w:rPr>
  </w:style>
  <w:style w:type="character" w:customStyle="1" w:styleId="CommentSubjectChar">
    <w:name w:val="Comment Subject Char"/>
    <w:basedOn w:val="CommentTextChar"/>
    <w:link w:val="CommentSubject"/>
    <w:uiPriority w:val="99"/>
    <w:semiHidden/>
    <w:rsid w:val="00B94D5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94D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4D57"/>
    <w:rPr>
      <w:rFonts w:ascii="Segoe UI" w:eastAsia="Times New Roman" w:hAnsi="Segoe UI" w:cs="Segoe UI"/>
      <w:sz w:val="18"/>
      <w:szCs w:val="18"/>
    </w:rPr>
  </w:style>
  <w:style w:type="paragraph" w:styleId="NormalWeb">
    <w:name w:val="Normal (Web)"/>
    <w:basedOn w:val="Normal"/>
    <w:uiPriority w:val="99"/>
    <w:semiHidden/>
    <w:unhideWhenUsed/>
    <w:rsid w:val="00C57B0C"/>
    <w:pPr>
      <w:widowControl/>
      <w:autoSpaceDE/>
      <w:autoSpaceDN/>
      <w:spacing w:before="100" w:beforeAutospacing="1" w:after="100" w:afterAutospacing="1"/>
    </w:pPr>
    <w:rPr>
      <w:sz w:val="24"/>
      <w:szCs w:val="24"/>
    </w:rPr>
  </w:style>
  <w:style w:type="paragraph" w:styleId="Revision">
    <w:name w:val="Revision"/>
    <w:hidden/>
    <w:uiPriority w:val="99"/>
    <w:semiHidden/>
    <w:rsid w:val="00CE6EE4"/>
    <w:pPr>
      <w:widowControl/>
      <w:autoSpaceDE/>
      <w:autoSpaceDN/>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801172"/>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D3345F"/>
    <w:rPr>
      <w:rFonts w:ascii="Times New Roman" w:eastAsia="Times New Roman" w:hAnsi="Times New Roman" w:cs="Times New Roman"/>
      <w:b/>
      <w:bCs/>
      <w:sz w:val="24"/>
      <w:szCs w:val="24"/>
    </w:rPr>
  </w:style>
  <w:style w:type="table" w:styleId="TableGrid">
    <w:name w:val="Table Grid"/>
    <w:basedOn w:val="TableNormal"/>
    <w:uiPriority w:val="39"/>
    <w:rsid w:val="00307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7663">
      <w:bodyDiv w:val="1"/>
      <w:marLeft w:val="0"/>
      <w:marRight w:val="0"/>
      <w:marTop w:val="0"/>
      <w:marBottom w:val="0"/>
      <w:divBdr>
        <w:top w:val="none" w:sz="0" w:space="0" w:color="auto"/>
        <w:left w:val="none" w:sz="0" w:space="0" w:color="auto"/>
        <w:bottom w:val="none" w:sz="0" w:space="0" w:color="auto"/>
        <w:right w:val="none" w:sz="0" w:space="0" w:color="auto"/>
      </w:divBdr>
    </w:div>
    <w:div w:id="374626075">
      <w:bodyDiv w:val="1"/>
      <w:marLeft w:val="0"/>
      <w:marRight w:val="0"/>
      <w:marTop w:val="0"/>
      <w:marBottom w:val="0"/>
      <w:divBdr>
        <w:top w:val="none" w:sz="0" w:space="0" w:color="auto"/>
        <w:left w:val="none" w:sz="0" w:space="0" w:color="auto"/>
        <w:bottom w:val="none" w:sz="0" w:space="0" w:color="auto"/>
        <w:right w:val="none" w:sz="0" w:space="0" w:color="auto"/>
      </w:divBdr>
      <w:divsChild>
        <w:div w:id="1190142629">
          <w:marLeft w:val="446"/>
          <w:marRight w:val="0"/>
          <w:marTop w:val="216"/>
          <w:marBottom w:val="0"/>
          <w:divBdr>
            <w:top w:val="none" w:sz="0" w:space="0" w:color="auto"/>
            <w:left w:val="none" w:sz="0" w:space="0" w:color="auto"/>
            <w:bottom w:val="none" w:sz="0" w:space="0" w:color="auto"/>
            <w:right w:val="none" w:sz="0" w:space="0" w:color="auto"/>
          </w:divBdr>
        </w:div>
      </w:divsChild>
    </w:div>
    <w:div w:id="378552752">
      <w:bodyDiv w:val="1"/>
      <w:marLeft w:val="0"/>
      <w:marRight w:val="0"/>
      <w:marTop w:val="0"/>
      <w:marBottom w:val="0"/>
      <w:divBdr>
        <w:top w:val="none" w:sz="0" w:space="0" w:color="auto"/>
        <w:left w:val="none" w:sz="0" w:space="0" w:color="auto"/>
        <w:bottom w:val="none" w:sz="0" w:space="0" w:color="auto"/>
        <w:right w:val="none" w:sz="0" w:space="0" w:color="auto"/>
      </w:divBdr>
    </w:div>
    <w:div w:id="379012963">
      <w:bodyDiv w:val="1"/>
      <w:marLeft w:val="0"/>
      <w:marRight w:val="0"/>
      <w:marTop w:val="0"/>
      <w:marBottom w:val="0"/>
      <w:divBdr>
        <w:top w:val="none" w:sz="0" w:space="0" w:color="auto"/>
        <w:left w:val="none" w:sz="0" w:space="0" w:color="auto"/>
        <w:bottom w:val="none" w:sz="0" w:space="0" w:color="auto"/>
        <w:right w:val="none" w:sz="0" w:space="0" w:color="auto"/>
      </w:divBdr>
    </w:div>
    <w:div w:id="456342261">
      <w:bodyDiv w:val="1"/>
      <w:marLeft w:val="0"/>
      <w:marRight w:val="0"/>
      <w:marTop w:val="0"/>
      <w:marBottom w:val="0"/>
      <w:divBdr>
        <w:top w:val="none" w:sz="0" w:space="0" w:color="auto"/>
        <w:left w:val="none" w:sz="0" w:space="0" w:color="auto"/>
        <w:bottom w:val="none" w:sz="0" w:space="0" w:color="auto"/>
        <w:right w:val="none" w:sz="0" w:space="0" w:color="auto"/>
      </w:divBdr>
      <w:divsChild>
        <w:div w:id="1850364427">
          <w:marLeft w:val="1080"/>
          <w:marRight w:val="0"/>
          <w:marTop w:val="87"/>
          <w:marBottom w:val="0"/>
          <w:divBdr>
            <w:top w:val="none" w:sz="0" w:space="0" w:color="auto"/>
            <w:left w:val="none" w:sz="0" w:space="0" w:color="auto"/>
            <w:bottom w:val="none" w:sz="0" w:space="0" w:color="auto"/>
            <w:right w:val="none" w:sz="0" w:space="0" w:color="auto"/>
          </w:divBdr>
        </w:div>
      </w:divsChild>
    </w:div>
    <w:div w:id="498545675">
      <w:bodyDiv w:val="1"/>
      <w:marLeft w:val="0"/>
      <w:marRight w:val="0"/>
      <w:marTop w:val="0"/>
      <w:marBottom w:val="0"/>
      <w:divBdr>
        <w:top w:val="none" w:sz="0" w:space="0" w:color="auto"/>
        <w:left w:val="none" w:sz="0" w:space="0" w:color="auto"/>
        <w:bottom w:val="none" w:sz="0" w:space="0" w:color="auto"/>
        <w:right w:val="none" w:sz="0" w:space="0" w:color="auto"/>
      </w:divBdr>
      <w:divsChild>
        <w:div w:id="943852772">
          <w:marLeft w:val="1613"/>
          <w:marRight w:val="0"/>
          <w:marTop w:val="102"/>
          <w:marBottom w:val="0"/>
          <w:divBdr>
            <w:top w:val="none" w:sz="0" w:space="0" w:color="auto"/>
            <w:left w:val="none" w:sz="0" w:space="0" w:color="auto"/>
            <w:bottom w:val="none" w:sz="0" w:space="0" w:color="auto"/>
            <w:right w:val="none" w:sz="0" w:space="0" w:color="auto"/>
          </w:divBdr>
        </w:div>
        <w:div w:id="1548176659">
          <w:marLeft w:val="1613"/>
          <w:marRight w:val="0"/>
          <w:marTop w:val="102"/>
          <w:marBottom w:val="0"/>
          <w:divBdr>
            <w:top w:val="none" w:sz="0" w:space="0" w:color="auto"/>
            <w:left w:val="none" w:sz="0" w:space="0" w:color="auto"/>
            <w:bottom w:val="none" w:sz="0" w:space="0" w:color="auto"/>
            <w:right w:val="none" w:sz="0" w:space="0" w:color="auto"/>
          </w:divBdr>
        </w:div>
        <w:div w:id="1961960743">
          <w:marLeft w:val="1613"/>
          <w:marRight w:val="0"/>
          <w:marTop w:val="102"/>
          <w:marBottom w:val="0"/>
          <w:divBdr>
            <w:top w:val="none" w:sz="0" w:space="0" w:color="auto"/>
            <w:left w:val="none" w:sz="0" w:space="0" w:color="auto"/>
            <w:bottom w:val="none" w:sz="0" w:space="0" w:color="auto"/>
            <w:right w:val="none" w:sz="0" w:space="0" w:color="auto"/>
          </w:divBdr>
        </w:div>
      </w:divsChild>
    </w:div>
    <w:div w:id="503403211">
      <w:bodyDiv w:val="1"/>
      <w:marLeft w:val="0"/>
      <w:marRight w:val="0"/>
      <w:marTop w:val="0"/>
      <w:marBottom w:val="0"/>
      <w:divBdr>
        <w:top w:val="none" w:sz="0" w:space="0" w:color="auto"/>
        <w:left w:val="none" w:sz="0" w:space="0" w:color="auto"/>
        <w:bottom w:val="none" w:sz="0" w:space="0" w:color="auto"/>
        <w:right w:val="none" w:sz="0" w:space="0" w:color="auto"/>
      </w:divBdr>
    </w:div>
    <w:div w:id="566914930">
      <w:bodyDiv w:val="1"/>
      <w:marLeft w:val="0"/>
      <w:marRight w:val="0"/>
      <w:marTop w:val="0"/>
      <w:marBottom w:val="0"/>
      <w:divBdr>
        <w:top w:val="none" w:sz="0" w:space="0" w:color="auto"/>
        <w:left w:val="none" w:sz="0" w:space="0" w:color="auto"/>
        <w:bottom w:val="none" w:sz="0" w:space="0" w:color="auto"/>
        <w:right w:val="none" w:sz="0" w:space="0" w:color="auto"/>
      </w:divBdr>
    </w:div>
    <w:div w:id="745764869">
      <w:bodyDiv w:val="1"/>
      <w:marLeft w:val="0"/>
      <w:marRight w:val="0"/>
      <w:marTop w:val="0"/>
      <w:marBottom w:val="0"/>
      <w:divBdr>
        <w:top w:val="none" w:sz="0" w:space="0" w:color="auto"/>
        <w:left w:val="none" w:sz="0" w:space="0" w:color="auto"/>
        <w:bottom w:val="none" w:sz="0" w:space="0" w:color="auto"/>
        <w:right w:val="none" w:sz="0" w:space="0" w:color="auto"/>
      </w:divBdr>
    </w:div>
    <w:div w:id="763646304">
      <w:bodyDiv w:val="1"/>
      <w:marLeft w:val="0"/>
      <w:marRight w:val="0"/>
      <w:marTop w:val="0"/>
      <w:marBottom w:val="0"/>
      <w:divBdr>
        <w:top w:val="none" w:sz="0" w:space="0" w:color="auto"/>
        <w:left w:val="none" w:sz="0" w:space="0" w:color="auto"/>
        <w:bottom w:val="none" w:sz="0" w:space="0" w:color="auto"/>
        <w:right w:val="none" w:sz="0" w:space="0" w:color="auto"/>
      </w:divBdr>
    </w:div>
    <w:div w:id="905840009">
      <w:bodyDiv w:val="1"/>
      <w:marLeft w:val="0"/>
      <w:marRight w:val="0"/>
      <w:marTop w:val="0"/>
      <w:marBottom w:val="0"/>
      <w:divBdr>
        <w:top w:val="none" w:sz="0" w:space="0" w:color="auto"/>
        <w:left w:val="none" w:sz="0" w:space="0" w:color="auto"/>
        <w:bottom w:val="none" w:sz="0" w:space="0" w:color="auto"/>
        <w:right w:val="none" w:sz="0" w:space="0" w:color="auto"/>
      </w:divBdr>
      <w:divsChild>
        <w:div w:id="479032692">
          <w:marLeft w:val="1080"/>
          <w:marRight w:val="0"/>
          <w:marTop w:val="108"/>
          <w:marBottom w:val="0"/>
          <w:divBdr>
            <w:top w:val="none" w:sz="0" w:space="0" w:color="auto"/>
            <w:left w:val="none" w:sz="0" w:space="0" w:color="auto"/>
            <w:bottom w:val="none" w:sz="0" w:space="0" w:color="auto"/>
            <w:right w:val="none" w:sz="0" w:space="0" w:color="auto"/>
          </w:divBdr>
        </w:div>
        <w:div w:id="702829560">
          <w:marLeft w:val="1613"/>
          <w:marRight w:val="0"/>
          <w:marTop w:val="108"/>
          <w:marBottom w:val="0"/>
          <w:divBdr>
            <w:top w:val="none" w:sz="0" w:space="0" w:color="auto"/>
            <w:left w:val="none" w:sz="0" w:space="0" w:color="auto"/>
            <w:bottom w:val="none" w:sz="0" w:space="0" w:color="auto"/>
            <w:right w:val="none" w:sz="0" w:space="0" w:color="auto"/>
          </w:divBdr>
        </w:div>
        <w:div w:id="745542168">
          <w:marLeft w:val="2520"/>
          <w:marRight w:val="0"/>
          <w:marTop w:val="108"/>
          <w:marBottom w:val="0"/>
          <w:divBdr>
            <w:top w:val="none" w:sz="0" w:space="0" w:color="auto"/>
            <w:left w:val="none" w:sz="0" w:space="0" w:color="auto"/>
            <w:bottom w:val="none" w:sz="0" w:space="0" w:color="auto"/>
            <w:right w:val="none" w:sz="0" w:space="0" w:color="auto"/>
          </w:divBdr>
        </w:div>
        <w:div w:id="1399785294">
          <w:marLeft w:val="2520"/>
          <w:marRight w:val="0"/>
          <w:marTop w:val="108"/>
          <w:marBottom w:val="0"/>
          <w:divBdr>
            <w:top w:val="none" w:sz="0" w:space="0" w:color="auto"/>
            <w:left w:val="none" w:sz="0" w:space="0" w:color="auto"/>
            <w:bottom w:val="none" w:sz="0" w:space="0" w:color="auto"/>
            <w:right w:val="none" w:sz="0" w:space="0" w:color="auto"/>
          </w:divBdr>
        </w:div>
        <w:div w:id="1542862005">
          <w:marLeft w:val="2520"/>
          <w:marRight w:val="0"/>
          <w:marTop w:val="108"/>
          <w:marBottom w:val="0"/>
          <w:divBdr>
            <w:top w:val="none" w:sz="0" w:space="0" w:color="auto"/>
            <w:left w:val="none" w:sz="0" w:space="0" w:color="auto"/>
            <w:bottom w:val="none" w:sz="0" w:space="0" w:color="auto"/>
            <w:right w:val="none" w:sz="0" w:space="0" w:color="auto"/>
          </w:divBdr>
        </w:div>
        <w:div w:id="1690839026">
          <w:marLeft w:val="2520"/>
          <w:marRight w:val="0"/>
          <w:marTop w:val="108"/>
          <w:marBottom w:val="0"/>
          <w:divBdr>
            <w:top w:val="none" w:sz="0" w:space="0" w:color="auto"/>
            <w:left w:val="none" w:sz="0" w:space="0" w:color="auto"/>
            <w:bottom w:val="none" w:sz="0" w:space="0" w:color="auto"/>
            <w:right w:val="none" w:sz="0" w:space="0" w:color="auto"/>
          </w:divBdr>
        </w:div>
        <w:div w:id="1724408086">
          <w:marLeft w:val="2520"/>
          <w:marRight w:val="0"/>
          <w:marTop w:val="108"/>
          <w:marBottom w:val="0"/>
          <w:divBdr>
            <w:top w:val="none" w:sz="0" w:space="0" w:color="auto"/>
            <w:left w:val="none" w:sz="0" w:space="0" w:color="auto"/>
            <w:bottom w:val="none" w:sz="0" w:space="0" w:color="auto"/>
            <w:right w:val="none" w:sz="0" w:space="0" w:color="auto"/>
          </w:divBdr>
        </w:div>
        <w:div w:id="2067411260">
          <w:marLeft w:val="3240"/>
          <w:marRight w:val="0"/>
          <w:marTop w:val="86"/>
          <w:marBottom w:val="0"/>
          <w:divBdr>
            <w:top w:val="none" w:sz="0" w:space="0" w:color="auto"/>
            <w:left w:val="none" w:sz="0" w:space="0" w:color="auto"/>
            <w:bottom w:val="none" w:sz="0" w:space="0" w:color="auto"/>
            <w:right w:val="none" w:sz="0" w:space="0" w:color="auto"/>
          </w:divBdr>
        </w:div>
      </w:divsChild>
    </w:div>
    <w:div w:id="1085765143">
      <w:bodyDiv w:val="1"/>
      <w:marLeft w:val="0"/>
      <w:marRight w:val="0"/>
      <w:marTop w:val="0"/>
      <w:marBottom w:val="0"/>
      <w:divBdr>
        <w:top w:val="none" w:sz="0" w:space="0" w:color="auto"/>
        <w:left w:val="none" w:sz="0" w:space="0" w:color="auto"/>
        <w:bottom w:val="none" w:sz="0" w:space="0" w:color="auto"/>
        <w:right w:val="none" w:sz="0" w:space="0" w:color="auto"/>
      </w:divBdr>
    </w:div>
    <w:div w:id="1249731914">
      <w:bodyDiv w:val="1"/>
      <w:marLeft w:val="0"/>
      <w:marRight w:val="0"/>
      <w:marTop w:val="0"/>
      <w:marBottom w:val="0"/>
      <w:divBdr>
        <w:top w:val="none" w:sz="0" w:space="0" w:color="auto"/>
        <w:left w:val="none" w:sz="0" w:space="0" w:color="auto"/>
        <w:bottom w:val="none" w:sz="0" w:space="0" w:color="auto"/>
        <w:right w:val="none" w:sz="0" w:space="0" w:color="auto"/>
      </w:divBdr>
      <w:divsChild>
        <w:div w:id="1476727287">
          <w:marLeft w:val="446"/>
          <w:marRight w:val="0"/>
          <w:marTop w:val="240"/>
          <w:marBottom w:val="0"/>
          <w:divBdr>
            <w:top w:val="none" w:sz="0" w:space="0" w:color="auto"/>
            <w:left w:val="none" w:sz="0" w:space="0" w:color="auto"/>
            <w:bottom w:val="none" w:sz="0" w:space="0" w:color="auto"/>
            <w:right w:val="none" w:sz="0" w:space="0" w:color="auto"/>
          </w:divBdr>
        </w:div>
      </w:divsChild>
    </w:div>
    <w:div w:id="1259943820">
      <w:bodyDiv w:val="1"/>
      <w:marLeft w:val="0"/>
      <w:marRight w:val="0"/>
      <w:marTop w:val="0"/>
      <w:marBottom w:val="0"/>
      <w:divBdr>
        <w:top w:val="none" w:sz="0" w:space="0" w:color="auto"/>
        <w:left w:val="none" w:sz="0" w:space="0" w:color="auto"/>
        <w:bottom w:val="none" w:sz="0" w:space="0" w:color="auto"/>
        <w:right w:val="none" w:sz="0" w:space="0" w:color="auto"/>
      </w:divBdr>
      <w:divsChild>
        <w:div w:id="318312327">
          <w:marLeft w:val="1080"/>
          <w:marRight w:val="0"/>
          <w:marTop w:val="87"/>
          <w:marBottom w:val="0"/>
          <w:divBdr>
            <w:top w:val="none" w:sz="0" w:space="0" w:color="auto"/>
            <w:left w:val="none" w:sz="0" w:space="0" w:color="auto"/>
            <w:bottom w:val="none" w:sz="0" w:space="0" w:color="auto"/>
            <w:right w:val="none" w:sz="0" w:space="0" w:color="auto"/>
          </w:divBdr>
        </w:div>
        <w:div w:id="507523955">
          <w:marLeft w:val="1080"/>
          <w:marRight w:val="0"/>
          <w:marTop w:val="87"/>
          <w:marBottom w:val="0"/>
          <w:divBdr>
            <w:top w:val="none" w:sz="0" w:space="0" w:color="auto"/>
            <w:left w:val="none" w:sz="0" w:space="0" w:color="auto"/>
            <w:bottom w:val="none" w:sz="0" w:space="0" w:color="auto"/>
            <w:right w:val="none" w:sz="0" w:space="0" w:color="auto"/>
          </w:divBdr>
        </w:div>
      </w:divsChild>
    </w:div>
    <w:div w:id="1347094761">
      <w:bodyDiv w:val="1"/>
      <w:marLeft w:val="0"/>
      <w:marRight w:val="0"/>
      <w:marTop w:val="0"/>
      <w:marBottom w:val="0"/>
      <w:divBdr>
        <w:top w:val="none" w:sz="0" w:space="0" w:color="auto"/>
        <w:left w:val="none" w:sz="0" w:space="0" w:color="auto"/>
        <w:bottom w:val="none" w:sz="0" w:space="0" w:color="auto"/>
        <w:right w:val="none" w:sz="0" w:space="0" w:color="auto"/>
      </w:divBdr>
    </w:div>
    <w:div w:id="1905094071">
      <w:bodyDiv w:val="1"/>
      <w:marLeft w:val="0"/>
      <w:marRight w:val="0"/>
      <w:marTop w:val="0"/>
      <w:marBottom w:val="0"/>
      <w:divBdr>
        <w:top w:val="none" w:sz="0" w:space="0" w:color="auto"/>
        <w:left w:val="none" w:sz="0" w:space="0" w:color="auto"/>
        <w:bottom w:val="none" w:sz="0" w:space="0" w:color="auto"/>
        <w:right w:val="none" w:sz="0" w:space="0" w:color="auto"/>
      </w:divBdr>
    </w:div>
    <w:div w:id="2021540972">
      <w:bodyDiv w:val="1"/>
      <w:marLeft w:val="0"/>
      <w:marRight w:val="0"/>
      <w:marTop w:val="0"/>
      <w:marBottom w:val="0"/>
      <w:divBdr>
        <w:top w:val="none" w:sz="0" w:space="0" w:color="auto"/>
        <w:left w:val="none" w:sz="0" w:space="0" w:color="auto"/>
        <w:bottom w:val="none" w:sz="0" w:space="0" w:color="auto"/>
        <w:right w:val="none" w:sz="0" w:space="0" w:color="auto"/>
      </w:divBdr>
      <w:divsChild>
        <w:div w:id="2062047728">
          <w:marLeft w:val="446"/>
          <w:marRight w:val="0"/>
          <w:marTop w:val="21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63EE54490A8C4C8E8D3CD5691138EC" ma:contentTypeVersion="8" ma:contentTypeDescription="Create a new document." ma:contentTypeScope="" ma:versionID="baa7d4ed5e5734ddda783c4d350f2aaa">
  <xsd:schema xmlns:xsd="http://www.w3.org/2001/XMLSchema" xmlns:xs="http://www.w3.org/2001/XMLSchema" xmlns:p="http://schemas.microsoft.com/office/2006/metadata/properties" xmlns:ns1="http://schemas.microsoft.com/sharepoint/v3" xmlns:ns2="59baec36-6169-4f65-8019-97ca600026dc" xmlns:ns3="4ca9743f-e42a-4a5f-9c86-d153e21d2c0d" targetNamespace="http://schemas.microsoft.com/office/2006/metadata/properties" ma:root="true" ma:fieldsID="0f789de9578c482a8cce3ee3b63c6f01" ns1:_="" ns2:_="" ns3:_="">
    <xsd:import namespace="http://schemas.microsoft.com/sharepoint/v3"/>
    <xsd:import namespace="59baec36-6169-4f65-8019-97ca600026dc"/>
    <xsd:import namespace="4ca9743f-e42a-4a5f-9c86-d153e21d2c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baec36-6169-4f65-8019-97ca600026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a9743f-e42a-4a5f-9c86-d153e21d2c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5446DB-3B2B-45E3-BAF8-3D0BF99092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baec36-6169-4f65-8019-97ca600026dc"/>
    <ds:schemaRef ds:uri="4ca9743f-e42a-4a5f-9c86-d153e21d2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CD80C7-32B1-475E-ADA6-F93D4D9D99AC}">
  <ds:schemaRefs>
    <ds:schemaRef ds:uri="http://schemas.microsoft.com/sharepoint/v3/contenttype/forms"/>
  </ds:schemaRefs>
</ds:datastoreItem>
</file>

<file path=customXml/itemProps3.xml><?xml version="1.0" encoding="utf-8"?>
<ds:datastoreItem xmlns:ds="http://schemas.openxmlformats.org/officeDocument/2006/customXml" ds:itemID="{B12FFEBE-8367-4258-B127-32F28668B900}">
  <ds:schemaRefs>
    <ds:schemaRef ds:uri="http://schemas.microsoft.com/office/2006/metadata/properties"/>
    <ds:schemaRef ds:uri="http://schemas.microsoft.com/office/infopath/2007/PartnerControls"/>
    <ds:schemaRef ds:uri="http://schemas.microsoft.com/sharepoint/v3"/>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450</TotalTime>
  <Pages>5</Pages>
  <Words>1781</Words>
  <Characters>10152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11910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HARPER, CYNTHIA I CTR USAF AFDW AFDW/PKS</dc:creator>
  <cp:keywords/>
  <dc:description/>
  <cp:lastModifiedBy>TERRY, THERESA L CIV USAF HAF SAF/MGM</cp:lastModifiedBy>
  <cp:revision>152</cp:revision>
  <cp:lastPrinted>2020-01-06T12:37:00Z</cp:lastPrinted>
  <dcterms:created xsi:type="dcterms:W3CDTF">2024-06-04T12:17:00Z</dcterms:created>
  <dcterms:modified xsi:type="dcterms:W3CDTF">2024-06-13T22:38:00Z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2017-09-11T00:00:00Z</vt:filetime>
  </property>
  <property fmtid="{D5CDD505-2E9C-101B-9397-08002B2CF9AE}" pid="3" name="LastSaved">
    <vt:filetime>2019-06-26T00:00:00Z</vt:filetime>
  </property>
  <property fmtid="{D5CDD505-2E9C-101B-9397-08002B2CF9AE}" pid="4" name="ContentTypeId">
    <vt:lpwstr>0x010100DC63EE54490A8C4C8E8D3CD5691138EC</vt:lpwstr>
  </property>
</Properties>
</file>