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0109A" w:rsidR="0010109A" w:rsidP="0010109A" w:rsidRDefault="0010109A" w14:paraId="48C01286" w14:textId="6D6F3E97">
      <w:pPr>
        <w:jc w:val="center"/>
        <w:rPr>
          <w:rFonts w:ascii="Times New Roman" w:hAnsi="Times New Roman" w:cs="Times New Roman"/>
          <w:b/>
          <w:bCs/>
          <w:color w:val="000000"/>
          <w:sz w:val="24"/>
          <w:szCs w:val="24"/>
        </w:rPr>
      </w:pPr>
      <w:r w:rsidRPr="0010109A">
        <w:rPr>
          <w:rFonts w:ascii="Times New Roman" w:hAnsi="Times New Roman" w:cs="Times New Roman"/>
          <w:b/>
          <w:bCs/>
          <w:color w:val="000000"/>
          <w:sz w:val="24"/>
          <w:szCs w:val="24"/>
        </w:rPr>
        <w:t>ATTACHMENT J-10</w:t>
      </w:r>
    </w:p>
    <w:p w:rsidRPr="0010109A" w:rsidR="0010109A" w:rsidP="0010109A" w:rsidRDefault="0010109A" w14:paraId="5FC10D48" w14:textId="77777777">
      <w:pPr>
        <w:jc w:val="center"/>
        <w:rPr>
          <w:rFonts w:ascii="Times New Roman" w:hAnsi="Times New Roman" w:cs="Times New Roman"/>
          <w:b/>
          <w:bCs/>
          <w:color w:val="000000"/>
          <w:sz w:val="24"/>
          <w:szCs w:val="24"/>
        </w:rPr>
      </w:pPr>
    </w:p>
    <w:p w:rsidRPr="0010109A" w:rsidR="0010109A" w:rsidP="0010109A" w:rsidRDefault="0010109A" w14:paraId="384311EA" w14:textId="659CBB08">
      <w:pPr>
        <w:jc w:val="center"/>
        <w:rPr>
          <w:rFonts w:ascii="Times New Roman" w:hAnsi="Times New Roman" w:cs="Times New Roman"/>
          <w:b/>
          <w:bCs/>
          <w:color w:val="000000"/>
          <w:sz w:val="24"/>
          <w:szCs w:val="24"/>
        </w:rPr>
      </w:pPr>
      <w:r w:rsidRPr="0010109A">
        <w:rPr>
          <w:rFonts w:ascii="Times New Roman" w:hAnsi="Times New Roman" w:cs="Times New Roman"/>
          <w:b/>
          <w:bCs/>
          <w:color w:val="000000"/>
          <w:sz w:val="24"/>
          <w:szCs w:val="24"/>
        </w:rPr>
        <w:t>MEANINGFUL RELATIONSHIP COMMITMENT &amp; SUBCONTRACTOR CAPABILITIES, PAST PERFORMANCE AND EXPERIENCE LETTER</w:t>
      </w:r>
    </w:p>
    <w:p w:rsidR="0010109A" w:rsidP="0010109A" w:rsidRDefault="0010109A" w14:paraId="0012FDDA" w14:textId="77777777">
      <w:pPr>
        <w:rPr>
          <w:rFonts w:ascii="Times New Roman" w:hAnsi="Times New Roman" w:cs="Times New Roman"/>
          <w:color w:val="000000"/>
          <w:sz w:val="24"/>
          <w:szCs w:val="24"/>
        </w:rPr>
      </w:pPr>
    </w:p>
    <w:p w:rsidR="0010109A" w:rsidP="0010109A" w:rsidRDefault="0010109A" w14:paraId="73A13E61" w14:textId="77777777">
      <w:pPr>
        <w:pStyle w:val="ListParagraph"/>
        <w:numPr>
          <w:ilvl w:val="0"/>
          <w:numId w:val="1"/>
        </w:numPr>
        <w:rPr>
          <w:rFonts w:ascii="Times New Roman" w:hAnsi="Times New Roman" w:eastAsia="Times New Roman" w:cs="Times New Roman"/>
          <w:b/>
          <w:bCs/>
          <w:sz w:val="24"/>
          <w:szCs w:val="24"/>
        </w:rPr>
      </w:pPr>
      <w:r>
        <w:rPr>
          <w:rFonts w:ascii="Times New Roman" w:hAnsi="Times New Roman" w:eastAsia="Times New Roman" w:cs="Times New Roman"/>
          <w:b/>
          <w:bCs/>
          <w:color w:val="000000"/>
          <w:sz w:val="24"/>
          <w:szCs w:val="24"/>
        </w:rPr>
        <w:t>Meaningful relationship certification</w:t>
      </w:r>
    </w:p>
    <w:p w:rsidRPr="00F46921" w:rsidR="0010109A" w:rsidP="56DA0EB7" w:rsidRDefault="0010109A" w14:paraId="1C989245" w14:textId="19FD0579" w14:noSpellErr="1">
      <w:pPr>
        <w:pStyle w:val="ListParagraph"/>
        <w:jc w:val="both"/>
        <w:rPr>
          <w:rFonts w:ascii="Times New Roman" w:hAnsi="Times New Roman" w:cs="Times New Roman"/>
          <w:sz w:val="24"/>
          <w:szCs w:val="24"/>
        </w:rPr>
      </w:pPr>
      <w:r>
        <w:br/>
      </w:r>
      <w:r w:rsidRPr="56DA0EB7" w:rsidR="0010109A">
        <w:rPr>
          <w:rFonts w:ascii="Times New Roman" w:hAnsi="Times New Roman" w:cs="Times New Roman"/>
          <w:sz w:val="24"/>
          <w:szCs w:val="24"/>
        </w:rPr>
        <w:t>Within a corporate structure, an offeror may utilize resources from a Parent Company, Affiliate, Division, and/or Subsidiary. DOS will allow an offeror to take credit for relevant experience project(s), system(s), or certification(s) from a Parent Company, Affiliate, Division, and/or Subsidiary so long as there is a meaningful relationship to the offeror and commitment letters are provided to the Government.</w:t>
      </w:r>
      <w:r w:rsidRPr="56DA0EB7" w:rsidR="00F46921">
        <w:rPr>
          <w:rFonts w:ascii="Times New Roman" w:hAnsi="Times New Roman" w:cs="Times New Roman"/>
          <w:sz w:val="24"/>
          <w:szCs w:val="24"/>
        </w:rPr>
        <w:t xml:space="preserve">  </w:t>
      </w:r>
      <w:r w:rsidRPr="56DA0EB7" w:rsidR="0010109A">
        <w:rPr>
          <w:rFonts w:ascii="Times New Roman" w:hAnsi="Times New Roman" w:cs="Times New Roman"/>
          <w:color w:val="000000" w:themeColor="text1" w:themeTint="FF" w:themeShade="FF"/>
          <w:sz w:val="24"/>
          <w:szCs w:val="24"/>
        </w:rPr>
        <w:t>For the purposes of Evolve, a “meaningful relationship” exists within a corporate structure when at least one of the following conditions exists:</w:t>
      </w:r>
    </w:p>
    <w:p w:rsidR="0010109A" w:rsidP="56DA0EB7" w:rsidRDefault="0010109A" w14:paraId="24301106" w14:textId="77777777" w14:noSpellErr="1">
      <w:pPr>
        <w:spacing w:after="240"/>
        <w:ind w:left="720"/>
        <w:jc w:val="both"/>
        <w:rPr>
          <w:rFonts w:ascii="Times New Roman" w:hAnsi="Times New Roman" w:cs="Times New Roman"/>
          <w:color w:val="000000"/>
          <w:sz w:val="24"/>
          <w:szCs w:val="24"/>
        </w:rPr>
      </w:pPr>
      <w:r>
        <w:br/>
      </w:r>
      <w:r w:rsidRPr="56DA0EB7" w:rsidR="0010109A">
        <w:rPr>
          <w:rFonts w:ascii="Times New Roman" w:hAnsi="Times New Roman" w:cs="Times New Roman"/>
          <w:color w:val="000000" w:themeColor="text1" w:themeTint="FF" w:themeShade="FF"/>
          <w:sz w:val="24"/>
          <w:szCs w:val="24"/>
        </w:rPr>
        <w:t>a. An entity is a wholly owned subsidiary of a parent organization.</w:t>
      </w:r>
      <w:r>
        <w:br/>
      </w:r>
      <w:r w:rsidRPr="56DA0EB7" w:rsidR="0010109A">
        <w:rPr>
          <w:rFonts w:ascii="Times New Roman" w:hAnsi="Times New Roman" w:cs="Times New Roman"/>
          <w:color w:val="000000" w:themeColor="text1" w:themeTint="FF" w:themeShade="FF"/>
          <w:sz w:val="24"/>
          <w:szCs w:val="24"/>
        </w:rPr>
        <w:t>b. An entity is a parent of a wholly owned subsidiary.</w:t>
      </w:r>
      <w:r>
        <w:br/>
      </w:r>
      <w:r w:rsidRPr="56DA0EB7" w:rsidR="0010109A">
        <w:rPr>
          <w:rFonts w:ascii="Times New Roman" w:hAnsi="Times New Roman" w:cs="Times New Roman"/>
          <w:color w:val="000000" w:themeColor="text1" w:themeTint="FF" w:themeShade="FF"/>
          <w:sz w:val="24"/>
          <w:szCs w:val="24"/>
        </w:rPr>
        <w:t>c. An entity operates under a single internal operational unit.</w:t>
      </w:r>
      <w:r>
        <w:br/>
      </w:r>
      <w:r w:rsidRPr="56DA0EB7" w:rsidR="0010109A">
        <w:rPr>
          <w:rFonts w:ascii="Times New Roman" w:hAnsi="Times New Roman" w:cs="Times New Roman"/>
          <w:color w:val="000000" w:themeColor="text1" w:themeTint="FF" w:themeShade="FF"/>
          <w:sz w:val="24"/>
          <w:szCs w:val="24"/>
        </w:rPr>
        <w:t>d. An entity operates under a consolidated accounting system.</w:t>
      </w:r>
      <w:r>
        <w:br/>
      </w:r>
      <w:r w:rsidRPr="56DA0EB7" w:rsidR="0010109A">
        <w:rPr>
          <w:rFonts w:ascii="Times New Roman" w:hAnsi="Times New Roman" w:cs="Times New Roman"/>
          <w:color w:val="000000" w:themeColor="text1" w:themeTint="FF" w:themeShade="FF"/>
          <w:sz w:val="24"/>
          <w:szCs w:val="24"/>
        </w:rPr>
        <w:t>e. An entity operates under a consolidated purchasing system.</w:t>
      </w:r>
      <w:r>
        <w:br/>
      </w:r>
      <w:r w:rsidRPr="56DA0EB7" w:rsidR="0010109A">
        <w:rPr>
          <w:rFonts w:ascii="Times New Roman" w:hAnsi="Times New Roman" w:cs="Times New Roman"/>
          <w:color w:val="000000" w:themeColor="text1" w:themeTint="FF" w:themeShade="FF"/>
          <w:sz w:val="24"/>
          <w:szCs w:val="24"/>
        </w:rPr>
        <w:t>f. An entity operates under a consolidated human resources or personnel system.</w:t>
      </w:r>
      <w:r>
        <w:br/>
      </w:r>
      <w:r w:rsidRPr="56DA0EB7" w:rsidR="0010109A">
        <w:rPr>
          <w:rFonts w:ascii="Times New Roman" w:hAnsi="Times New Roman" w:cs="Times New Roman"/>
          <w:color w:val="000000" w:themeColor="text1" w:themeTint="FF" w:themeShade="FF"/>
          <w:sz w:val="24"/>
          <w:szCs w:val="24"/>
        </w:rPr>
        <w:t>g. An entity operates under common policy and corporate guidelines.</w:t>
      </w:r>
      <w:r>
        <w:br/>
      </w:r>
      <w:r w:rsidRPr="56DA0EB7" w:rsidR="0010109A">
        <w:rPr>
          <w:rFonts w:ascii="Times New Roman" w:hAnsi="Times New Roman" w:cs="Times New Roman"/>
          <w:color w:val="000000" w:themeColor="text1" w:themeTint="FF" w:themeShade="FF"/>
          <w:sz w:val="24"/>
          <w:szCs w:val="24"/>
        </w:rPr>
        <w:t>h. Operating structure between the entities includes internal organizational reporting lines and management chains for “lines of business” that operate across the formal corporate subsidiaries.</w:t>
      </w:r>
    </w:p>
    <w:p w:rsidR="0010109A" w:rsidP="56DA0EB7" w:rsidRDefault="0010109A" w14:paraId="6309D03F" w14:textId="77777777" w14:noSpellErr="1">
      <w:pPr>
        <w:ind w:left="720"/>
        <w:jc w:val="both"/>
        <w:rPr>
          <w:rFonts w:ascii="Times New Roman" w:hAnsi="Times New Roman" w:cs="Times New Roman"/>
          <w:color w:val="000000"/>
          <w:sz w:val="24"/>
          <w:szCs w:val="24"/>
        </w:rPr>
      </w:pPr>
      <w:r w:rsidRPr="56DA0EB7" w:rsidR="0010109A">
        <w:rPr>
          <w:rFonts w:ascii="Times New Roman" w:hAnsi="Times New Roman" w:cs="Times New Roman"/>
          <w:color w:val="000000" w:themeColor="text1" w:themeTint="FF" w:themeShade="FF"/>
          <w:sz w:val="24"/>
          <w:szCs w:val="24"/>
        </w:rPr>
        <w:t>For each meaningful relationship identified for Evolve proposal elements, the offeror shall provide a Meaningful Relationship Commitment Letter that includes the following:</w:t>
      </w:r>
    </w:p>
    <w:p w:rsidR="0010109A" w:rsidP="56DA0EB7" w:rsidRDefault="0010109A" w14:paraId="5A224E4C" w14:textId="77777777" w14:noSpellErr="1">
      <w:pPr>
        <w:jc w:val="both"/>
        <w:rPr>
          <w:rFonts w:ascii="Times New Roman" w:hAnsi="Times New Roman" w:cs="Times New Roman"/>
          <w:color w:val="000000"/>
          <w:sz w:val="24"/>
          <w:szCs w:val="24"/>
        </w:rPr>
      </w:pPr>
    </w:p>
    <w:p w:rsidR="0010109A" w:rsidP="56DA0EB7" w:rsidRDefault="0010109A" w14:paraId="46448F45" w14:textId="77777777" w14:noSpellErr="1">
      <w:pPr>
        <w:pStyle w:val="ListParagraph"/>
        <w:numPr>
          <w:ilvl w:val="1"/>
          <w:numId w:val="1"/>
        </w:numPr>
        <w:jc w:val="both"/>
        <w:rPr>
          <w:rFonts w:ascii="Times New Roman" w:hAnsi="Times New Roman" w:cs="Times New Roman"/>
          <w:color w:val="000000"/>
          <w:sz w:val="24"/>
          <w:szCs w:val="24"/>
        </w:rPr>
      </w:pPr>
      <w:r w:rsidRPr="56DA0EB7" w:rsidR="0010109A">
        <w:rPr>
          <w:rFonts w:ascii="Times New Roman" w:hAnsi="Times New Roman" w:cs="Times New Roman"/>
          <w:color w:val="000000" w:themeColor="text1" w:themeTint="FF" w:themeShade="FF"/>
          <w:sz w:val="24"/>
          <w:szCs w:val="24"/>
        </w:rPr>
        <w:t>Clear and legal identification of the meaningful relationship between the offeror and entity identified.</w:t>
      </w:r>
    </w:p>
    <w:p w:rsidR="0010109A" w:rsidP="56DA0EB7" w:rsidRDefault="0010109A" w14:paraId="396D58EC" w14:textId="77777777" w14:noSpellErr="1">
      <w:pPr>
        <w:pStyle w:val="ListParagraph"/>
        <w:numPr>
          <w:ilvl w:val="1"/>
          <w:numId w:val="1"/>
        </w:numPr>
        <w:jc w:val="both"/>
        <w:rPr>
          <w:rFonts w:ascii="Times New Roman" w:hAnsi="Times New Roman" w:cs="Times New Roman"/>
          <w:color w:val="000000"/>
          <w:sz w:val="24"/>
          <w:szCs w:val="24"/>
        </w:rPr>
      </w:pPr>
      <w:r w:rsidRPr="56DA0EB7" w:rsidR="0010109A">
        <w:rPr>
          <w:rFonts w:ascii="Times New Roman" w:hAnsi="Times New Roman" w:cs="Times New Roman"/>
          <w:color w:val="000000" w:themeColor="text1" w:themeTint="FF" w:themeShade="FF"/>
          <w:sz w:val="24"/>
          <w:szCs w:val="24"/>
        </w:rPr>
        <w:t>A statement of commitment as to the performance and utilization of the identified entity’s resources on Evolve task orders.</w:t>
      </w:r>
    </w:p>
    <w:p w:rsidR="0010109A" w:rsidP="56DA0EB7" w:rsidRDefault="0010109A" w14:paraId="07C71557" w14:textId="77777777" w14:noSpellErr="1">
      <w:pPr>
        <w:pStyle w:val="ListParagraph"/>
        <w:numPr>
          <w:ilvl w:val="1"/>
          <w:numId w:val="1"/>
        </w:numPr>
        <w:jc w:val="both"/>
        <w:rPr>
          <w:rFonts w:ascii="Times New Roman" w:hAnsi="Times New Roman" w:cs="Times New Roman"/>
          <w:color w:val="000000"/>
          <w:sz w:val="24"/>
          <w:szCs w:val="24"/>
        </w:rPr>
      </w:pPr>
      <w:r w:rsidRPr="56DA0EB7" w:rsidR="0010109A">
        <w:rPr>
          <w:rFonts w:ascii="Times New Roman" w:hAnsi="Times New Roman" w:cs="Times New Roman"/>
          <w:color w:val="000000" w:themeColor="text1" w:themeTint="FF" w:themeShade="FF"/>
          <w:sz w:val="24"/>
          <w:szCs w:val="24"/>
        </w:rPr>
        <w:t>Each applicable proposal element shall be clearly and specifically identified.</w:t>
      </w:r>
    </w:p>
    <w:p w:rsidR="00305E34" w:rsidP="56DA0EB7" w:rsidRDefault="0010109A" w14:paraId="6F3BE872" w14:textId="77777777" w14:noSpellErr="1">
      <w:pPr>
        <w:pStyle w:val="ListParagraph"/>
        <w:numPr>
          <w:ilvl w:val="1"/>
          <w:numId w:val="1"/>
        </w:numPr>
        <w:jc w:val="both"/>
        <w:rPr>
          <w:rFonts w:ascii="Times New Roman" w:hAnsi="Times New Roman" w:cs="Times New Roman"/>
          <w:color w:val="000000"/>
          <w:sz w:val="24"/>
          <w:szCs w:val="24"/>
        </w:rPr>
      </w:pPr>
      <w:r w:rsidRPr="56DA0EB7" w:rsidR="0010109A">
        <w:rPr>
          <w:rFonts w:ascii="Times New Roman" w:hAnsi="Times New Roman" w:cs="Times New Roman"/>
          <w:color w:val="000000" w:themeColor="text1" w:themeTint="FF" w:themeShade="FF"/>
          <w:sz w:val="24"/>
          <w:szCs w:val="24"/>
        </w:rPr>
        <w:t>Signatures of both the offeror and meaningful relationship entity.</w:t>
      </w:r>
    </w:p>
    <w:p w:rsidRPr="00305E34" w:rsidR="00305E34" w:rsidP="56DA0EB7" w:rsidRDefault="00305E34" w14:paraId="6851633C" w14:textId="77777777" w14:noSpellErr="1">
      <w:pPr>
        <w:pStyle w:val="ListParagraph"/>
        <w:jc w:val="both"/>
        <w:rPr>
          <w:rFonts w:ascii="Times New Roman" w:hAnsi="Times New Roman" w:cs="Times New Roman"/>
          <w:color w:val="000000"/>
          <w:sz w:val="24"/>
          <w:szCs w:val="24"/>
        </w:rPr>
      </w:pPr>
    </w:p>
    <w:p w:rsidR="00305E34" w:rsidP="56DA0EB7" w:rsidRDefault="00305E34" w14:paraId="1A3B5BE5" w14:textId="77777777" w14:noSpellErr="1">
      <w:pPr>
        <w:pStyle w:val="ListParagraph"/>
        <w:jc w:val="both"/>
        <w:rPr>
          <w:rFonts w:ascii="Times New Roman" w:hAnsi="Times New Roman" w:cs="Times New Roman"/>
          <w:color w:val="000000"/>
          <w:sz w:val="24"/>
          <w:szCs w:val="24"/>
        </w:rPr>
      </w:pPr>
      <w:r w:rsidRPr="56DA0EB7" w:rsidR="00305E34">
        <w:rPr>
          <w:rFonts w:ascii="Times New Roman" w:hAnsi="Times New Roman" w:cs="Times New Roman"/>
          <w:color w:val="000000" w:themeColor="text1" w:themeTint="FF" w:themeShade="FF"/>
          <w:sz w:val="24"/>
          <w:szCs w:val="24"/>
        </w:rPr>
        <w:t>Indicate in the box below whether a meaningful relationship is being submitted for consideration within the Offeror’s proposal, and identify the attachments to the proposal that include meaningful relationship letters:</w:t>
      </w:r>
    </w:p>
    <w:p w:rsidR="00305E34" w:rsidP="00305E34" w:rsidRDefault="00305E34" w14:paraId="4911B0F6" w14:textId="77777777">
      <w:pPr>
        <w:pStyle w:val="ListParagraph"/>
        <w:rPr>
          <w:rFonts w:ascii="Times New Roman" w:hAnsi="Times New Roman" w:cs="Times New Roman"/>
          <w:color w:val="000000"/>
          <w:sz w:val="24"/>
          <w:szCs w:val="24"/>
        </w:rPr>
      </w:pPr>
    </w:p>
    <w:tbl>
      <w:tblPr>
        <w:tblStyle w:val="TableGrid"/>
        <w:tblW w:w="0" w:type="auto"/>
        <w:tblInd w:w="720" w:type="dxa"/>
        <w:tblLook w:val="04A0" w:firstRow="1" w:lastRow="0" w:firstColumn="1" w:lastColumn="0" w:noHBand="0" w:noVBand="1"/>
      </w:tblPr>
      <w:tblGrid>
        <w:gridCol w:w="8630"/>
      </w:tblGrid>
      <w:tr w:rsidR="00305E34" w:rsidTr="00305E34" w14:paraId="7C1B40E2" w14:textId="77777777">
        <w:trPr>
          <w:trHeight w:val="773"/>
        </w:trPr>
        <w:tc>
          <w:tcPr>
            <w:tcW w:w="9350" w:type="dxa"/>
          </w:tcPr>
          <w:p w:rsidR="00305E34" w:rsidP="00305E34" w:rsidRDefault="00305E34" w14:paraId="14C2469A" w14:textId="77777777">
            <w:pPr>
              <w:pStyle w:val="ListParagraph"/>
              <w:ind w:left="0"/>
              <w:rPr>
                <w:rFonts w:ascii="Times New Roman" w:hAnsi="Times New Roman" w:cs="Times New Roman"/>
                <w:color w:val="000000"/>
                <w:sz w:val="24"/>
                <w:szCs w:val="24"/>
              </w:rPr>
            </w:pPr>
          </w:p>
        </w:tc>
      </w:tr>
    </w:tbl>
    <w:p w:rsidRPr="0010109A" w:rsidR="0010109A" w:rsidP="00305E34" w:rsidRDefault="0010109A" w14:paraId="5300F9B5" w14:textId="1AC7B5DF">
      <w:pPr>
        <w:pStyle w:val="ListParagraph"/>
        <w:rPr>
          <w:rFonts w:ascii="Times New Roman" w:hAnsi="Times New Roman" w:cs="Times New Roman"/>
          <w:color w:val="000000"/>
          <w:sz w:val="24"/>
          <w:szCs w:val="24"/>
        </w:rPr>
      </w:pPr>
    </w:p>
    <w:p w:rsidRPr="00F46921" w:rsidR="0010109A" w:rsidP="56DA0EB7" w:rsidRDefault="0010109A" w14:paraId="2A2A4479" w14:textId="7A98E75A">
      <w:pPr>
        <w:ind w:left="720"/>
        <w:jc w:val="both"/>
        <w:rPr>
          <w:rFonts w:ascii="Times New Roman" w:hAnsi="Times New Roman" w:cs="Times New Roman"/>
          <w:color w:val="000000"/>
          <w:sz w:val="24"/>
          <w:szCs w:val="24"/>
        </w:rPr>
      </w:pPr>
      <w:proofErr w:type="gramStart"/>
      <w:r w:rsidRPr="56DA0EB7" w:rsidR="0010109A">
        <w:rPr>
          <w:rFonts w:ascii="Times New Roman" w:hAnsi="Times New Roman" w:cs="Times New Roman"/>
          <w:color w:val="000000" w:themeColor="text1" w:themeTint="FF" w:themeShade="FF"/>
          <w:sz w:val="24"/>
          <w:szCs w:val="24"/>
        </w:rPr>
        <w:t>In the event that</w:t>
      </w:r>
      <w:proofErr w:type="gramEnd"/>
      <w:r w:rsidRPr="56DA0EB7" w:rsidR="0010109A">
        <w:rPr>
          <w:rFonts w:ascii="Times New Roman" w:hAnsi="Times New Roman" w:cs="Times New Roman"/>
          <w:color w:val="000000" w:themeColor="text1" w:themeTint="FF" w:themeShade="FF"/>
          <w:sz w:val="24"/>
          <w:szCs w:val="24"/>
        </w:rPr>
        <w:t xml:space="preserve"> a parent organization has complete and full control over all meaningful relationship entities, the parent entity may prepare a single Meaningful Relationship Commitment Letter that identifies all elements required above.</w:t>
      </w:r>
      <w:r w:rsidRPr="56DA0EB7">
        <w:rPr>
          <w:rFonts w:ascii="Times New Roman" w:hAnsi="Times New Roman" w:eastAsia="Times New Roman" w:cs="Times New Roman"/>
          <w:b w:val="1"/>
          <w:bCs w:val="1"/>
          <w:color w:val="000000" w:themeColor="text1" w:themeTint="FF" w:themeShade="FF"/>
          <w:sz w:val="24"/>
          <w:szCs w:val="24"/>
        </w:rPr>
        <w:br w:type="page"/>
      </w:r>
    </w:p>
    <w:p w:rsidR="0010109A" w:rsidP="56DA0EB7" w:rsidRDefault="0010109A" w14:paraId="2B3176D6" w14:textId="5443052C" w14:noSpellErr="1">
      <w:pPr>
        <w:pStyle w:val="ListParagraph"/>
        <w:numPr>
          <w:ilvl w:val="0"/>
          <w:numId w:val="1"/>
        </w:numPr>
        <w:jc w:val="both"/>
        <w:rPr>
          <w:rFonts w:ascii="Times New Roman" w:hAnsi="Times New Roman" w:eastAsia="Times New Roman" w:cs="Times New Roman"/>
          <w:b w:val="1"/>
          <w:bCs w:val="1"/>
          <w:sz w:val="24"/>
          <w:szCs w:val="24"/>
          <w:shd w:val="clear" w:color="auto" w:fill="FFFFFF"/>
        </w:rPr>
      </w:pPr>
      <w:r w:rsidR="0010109A">
        <w:rPr>
          <w:rFonts w:ascii="Times New Roman" w:hAnsi="Times New Roman" w:eastAsia="Times New Roman" w:cs="Times New Roman"/>
          <w:b w:val="1"/>
          <w:bCs w:val="1"/>
          <w:color w:val="000000"/>
          <w:sz w:val="24"/>
          <w:szCs w:val="24"/>
          <w:shd w:val="clear" w:color="auto" w:fill="FFFFFF"/>
        </w:rPr>
        <w:lastRenderedPageBreak/>
        <w:t>Subcontracting Capabilities, Past Performance, and Experience</w:t>
      </w:r>
    </w:p>
    <w:p w:rsidR="0010109A" w:rsidP="56DA0EB7" w:rsidRDefault="0010109A" w14:paraId="23A8C516" w14:textId="77777777" w14:noSpellErr="1">
      <w:pPr>
        <w:pStyle w:val="ListParagraph"/>
        <w:jc w:val="both"/>
        <w:rPr>
          <w:rFonts w:ascii="Times New Roman" w:hAnsi="Times New Roman" w:cs="Times New Roman"/>
          <w:sz w:val="24"/>
          <w:szCs w:val="24"/>
          <w:shd w:val="clear" w:color="auto" w:fill="FFFFFF"/>
        </w:rPr>
      </w:pPr>
    </w:p>
    <w:p w:rsidR="0010109A" w:rsidP="56DA0EB7" w:rsidRDefault="0010109A" w14:paraId="1C9DB290" w14:textId="2A79C0F3" w14:noSpellErr="1">
      <w:pPr>
        <w:pStyle w:val="ListParagraph"/>
        <w:jc w:val="both"/>
        <w:rPr>
          <w:rFonts w:ascii="Times New Roman" w:hAnsi="Times New Roman" w:cs="Times New Roman"/>
          <w:sz w:val="24"/>
          <w:szCs w:val="24"/>
          <w:shd w:val="clear" w:color="auto" w:fill="FFFFFF"/>
        </w:rPr>
      </w:pPr>
      <w:r w:rsidR="0010109A">
        <w:rPr>
          <w:rFonts w:ascii="Times New Roman" w:hAnsi="Times New Roman" w:cs="Times New Roman"/>
          <w:color w:val="000000"/>
          <w:sz w:val="24"/>
          <w:szCs w:val="24"/>
          <w:shd w:val="clear" w:color="auto" w:fill="FFFFFF"/>
        </w:rPr>
        <w:t>In accordance with SBA regulation at 13 C.F.R. 125.2, When an offer of a small business prime contractor includes a proposed team of small business subcontractors and specifically identifies the first-tier subcontractor(s) in the proposal, the head of the agency must consider the capabilities, past performance, and experience of each first tier subcontractor that is part of the team as the capabilities, past performance, and experience of the small business prime contractor if the capabilities, past performance, and experience of the small business prime does not independently demonstrate capabilities and past performance necessary for award.   </w:t>
      </w:r>
    </w:p>
    <w:p w:rsidR="0010109A" w:rsidP="56DA0EB7" w:rsidRDefault="0010109A" w14:paraId="68D8026C" w14:textId="77777777" w14:noSpellErr="1">
      <w:pPr>
        <w:jc w:val="both"/>
        <w:rPr>
          <w:rFonts w:ascii="Times New Roman" w:hAnsi="Times New Roman" w:cs="Times New Roman"/>
          <w:sz w:val="24"/>
          <w:szCs w:val="24"/>
          <w:shd w:val="clear" w:color="auto" w:fill="FFFFFF"/>
        </w:rPr>
      </w:pPr>
    </w:p>
    <w:p w:rsidR="0010109A" w:rsidP="56DA0EB7" w:rsidRDefault="0010109A" w14:paraId="18D2E524" w14:textId="77777777" w14:noSpellErr="1">
      <w:pPr>
        <w:ind w:left="720"/>
        <w:jc w:val="both"/>
        <w:rPr>
          <w:rFonts w:ascii="Times New Roman" w:hAnsi="Times New Roman" w:cs="Times New Roman"/>
          <w:color w:val="000000"/>
          <w:sz w:val="24"/>
          <w:szCs w:val="24"/>
          <w:shd w:val="clear" w:color="auto" w:fill="FFFFFF"/>
        </w:rPr>
      </w:pPr>
      <w:r w:rsidR="0010109A">
        <w:rPr>
          <w:rFonts w:ascii="Times New Roman" w:hAnsi="Times New Roman" w:cs="Times New Roman"/>
          <w:color w:val="000000"/>
          <w:sz w:val="24"/>
          <w:szCs w:val="24"/>
          <w:shd w:val="clear" w:color="auto" w:fill="FFFFFF"/>
        </w:rPr>
        <w:t xml:space="preserve">The following must be demonstrated within the proposal for credit: </w:t>
      </w:r>
    </w:p>
    <w:p w:rsidR="0010109A" w:rsidP="56DA0EB7" w:rsidRDefault="0010109A" w14:paraId="2B6A4414" w14:textId="77777777" w14:noSpellErr="1">
      <w:pPr>
        <w:ind w:left="720"/>
        <w:jc w:val="both"/>
        <w:rPr>
          <w:rFonts w:ascii="Times New Roman" w:hAnsi="Times New Roman" w:cs="Times New Roman"/>
          <w:color w:val="000000"/>
          <w:sz w:val="24"/>
          <w:szCs w:val="24"/>
          <w:shd w:val="clear" w:color="auto" w:fill="FFFFFF"/>
        </w:rPr>
      </w:pPr>
    </w:p>
    <w:p w:rsidR="0010109A" w:rsidP="56DA0EB7" w:rsidRDefault="0010109A" w14:paraId="0FA9621F" w14:textId="77777777" w14:noSpellErr="1">
      <w:pPr>
        <w:ind w:left="720"/>
        <w:jc w:val="both"/>
        <w:rPr>
          <w:rFonts w:ascii="Times New Roman" w:hAnsi="Times New Roman" w:cs="Times New Roman"/>
          <w:color w:val="000000"/>
          <w:sz w:val="24"/>
          <w:szCs w:val="24"/>
          <w:shd w:val="clear" w:color="auto" w:fill="FFFFFF"/>
        </w:rPr>
      </w:pPr>
      <w:r w:rsidR="0010109A">
        <w:rPr>
          <w:rFonts w:ascii="Times New Roman" w:hAnsi="Times New Roman" w:cs="Times New Roman"/>
          <w:color w:val="000000"/>
          <w:sz w:val="24"/>
          <w:szCs w:val="24"/>
          <w:shd w:val="clear" w:color="auto" w:fill="FFFFFF"/>
        </w:rPr>
        <w:t xml:space="preserve">(1) the prospective prime contractor is a small </w:t>
      </w:r>
      <w:proofErr w:type="gramStart"/>
      <w:r w:rsidR="0010109A">
        <w:rPr>
          <w:rFonts w:ascii="Times New Roman" w:hAnsi="Times New Roman" w:cs="Times New Roman"/>
          <w:color w:val="000000"/>
          <w:sz w:val="24"/>
          <w:szCs w:val="24"/>
          <w:shd w:val="clear" w:color="auto" w:fill="FFFFFF"/>
        </w:rPr>
        <w:t>business;</w:t>
      </w:r>
      <w:proofErr w:type="gramEnd"/>
      <w:r w:rsidR="0010109A">
        <w:rPr>
          <w:rFonts w:ascii="Times New Roman" w:hAnsi="Times New Roman" w:cs="Times New Roman"/>
          <w:color w:val="000000"/>
          <w:sz w:val="24"/>
          <w:szCs w:val="24"/>
          <w:shd w:val="clear" w:color="auto" w:fill="FFFFFF"/>
        </w:rPr>
        <w:t xml:space="preserve"> </w:t>
      </w:r>
    </w:p>
    <w:p w:rsidR="0010109A" w:rsidP="56DA0EB7" w:rsidRDefault="0010109A" w14:paraId="7EA3E2E0" w14:textId="77777777" w14:noSpellErr="1">
      <w:pPr>
        <w:ind w:left="720"/>
        <w:jc w:val="both"/>
        <w:rPr>
          <w:rFonts w:ascii="Times New Roman" w:hAnsi="Times New Roman" w:cs="Times New Roman"/>
          <w:color w:val="000000"/>
          <w:sz w:val="24"/>
          <w:szCs w:val="24"/>
          <w:shd w:val="clear" w:color="auto" w:fill="FFFFFF"/>
        </w:rPr>
      </w:pPr>
      <w:r w:rsidR="0010109A">
        <w:rPr>
          <w:rFonts w:ascii="Times New Roman" w:hAnsi="Times New Roman" w:cs="Times New Roman"/>
          <w:color w:val="000000"/>
          <w:sz w:val="24"/>
          <w:szCs w:val="24"/>
          <w:shd w:val="clear" w:color="auto" w:fill="FFFFFF"/>
        </w:rPr>
        <w:t xml:space="preserve">(2) the prospective prime does not independently demonstrate the past performance “necessary for </w:t>
      </w:r>
      <w:proofErr w:type="gramStart"/>
      <w:r w:rsidR="0010109A">
        <w:rPr>
          <w:rFonts w:ascii="Times New Roman" w:hAnsi="Times New Roman" w:cs="Times New Roman"/>
          <w:color w:val="000000"/>
          <w:sz w:val="24"/>
          <w:szCs w:val="24"/>
          <w:shd w:val="clear" w:color="auto" w:fill="FFFFFF"/>
        </w:rPr>
        <w:t>award;</w:t>
      </w:r>
      <w:proofErr w:type="gramEnd"/>
      <w:r w:rsidR="0010109A">
        <w:rPr>
          <w:rFonts w:ascii="Times New Roman" w:hAnsi="Times New Roman" w:cs="Times New Roman"/>
          <w:color w:val="000000"/>
          <w:sz w:val="24"/>
          <w:szCs w:val="24"/>
          <w:shd w:val="clear" w:color="auto" w:fill="FFFFFF"/>
        </w:rPr>
        <w:t xml:space="preserve"> </w:t>
      </w:r>
    </w:p>
    <w:p w:rsidR="0010109A" w:rsidP="56DA0EB7" w:rsidRDefault="0010109A" w14:paraId="6E84A53C" w14:textId="77777777" w14:noSpellErr="1">
      <w:pPr>
        <w:ind w:left="720"/>
        <w:jc w:val="both"/>
        <w:rPr>
          <w:rFonts w:ascii="Times New Roman" w:hAnsi="Times New Roman" w:cs="Times New Roman"/>
          <w:color w:val="000000"/>
          <w:sz w:val="24"/>
          <w:szCs w:val="24"/>
          <w:shd w:val="clear" w:color="auto" w:fill="FFFFFF"/>
        </w:rPr>
      </w:pPr>
      <w:r w:rsidR="0010109A">
        <w:rPr>
          <w:rFonts w:ascii="Times New Roman" w:hAnsi="Times New Roman" w:cs="Times New Roman"/>
          <w:color w:val="000000"/>
          <w:sz w:val="24"/>
          <w:szCs w:val="24"/>
          <w:shd w:val="clear" w:color="auto" w:fill="FFFFFF"/>
        </w:rPr>
        <w:t xml:space="preserve">(3) the subcontractor is a first-tier sub; and </w:t>
      </w:r>
    </w:p>
    <w:p w:rsidR="0010109A" w:rsidP="56DA0EB7" w:rsidRDefault="0010109A" w14:paraId="41E1C758" w14:textId="1BEBF9EE" w14:noSpellErr="1">
      <w:pPr>
        <w:ind w:left="720"/>
        <w:jc w:val="both"/>
        <w:rPr>
          <w:rFonts w:ascii="Times New Roman" w:hAnsi="Times New Roman" w:cs="Times New Roman"/>
          <w:color w:val="000000"/>
          <w:sz w:val="24"/>
          <w:szCs w:val="24"/>
          <w:shd w:val="clear" w:color="auto" w:fill="FFFFFF"/>
        </w:rPr>
      </w:pPr>
      <w:r w:rsidR="0010109A">
        <w:rPr>
          <w:rFonts w:ascii="Times New Roman" w:hAnsi="Times New Roman" w:cs="Times New Roman"/>
          <w:color w:val="000000"/>
          <w:sz w:val="24"/>
          <w:szCs w:val="24"/>
          <w:shd w:val="clear" w:color="auto" w:fill="FFFFFF"/>
        </w:rPr>
        <w:t>(4) the subcontractor is itself a small business.</w:t>
      </w:r>
    </w:p>
    <w:p w:rsidR="00305E34" w:rsidP="56DA0EB7" w:rsidRDefault="00305E34" w14:paraId="46DFD629" w14:textId="1427AD4D" w14:noSpellErr="1">
      <w:pPr>
        <w:ind w:left="720"/>
        <w:jc w:val="both"/>
        <w:rPr>
          <w:rFonts w:ascii="Times New Roman" w:hAnsi="Times New Roman" w:cs="Times New Roman"/>
          <w:color w:val="000000"/>
          <w:sz w:val="24"/>
          <w:szCs w:val="24"/>
          <w:shd w:val="clear" w:color="auto" w:fill="FFFFFF"/>
        </w:rPr>
      </w:pPr>
    </w:p>
    <w:p w:rsidR="00305E34" w:rsidP="56DA0EB7" w:rsidRDefault="00305E34" w14:paraId="5130249C" w14:textId="45A4E4B5" w14:noSpellErr="1">
      <w:pPr>
        <w:ind w:left="720"/>
        <w:jc w:val="both"/>
        <w:rPr>
          <w:rFonts w:ascii="Times New Roman" w:hAnsi="Times New Roman" w:cs="Times New Roman"/>
          <w:color w:val="000000"/>
          <w:sz w:val="24"/>
          <w:szCs w:val="24"/>
          <w:shd w:val="clear" w:color="auto" w:fill="FFFFFF"/>
        </w:rPr>
      </w:pPr>
      <w:r w:rsidR="00305E34">
        <w:rPr>
          <w:rFonts w:ascii="Times New Roman" w:hAnsi="Times New Roman" w:cs="Times New Roman"/>
          <w:color w:val="000000"/>
          <w:sz w:val="24"/>
          <w:szCs w:val="24"/>
          <w:shd w:val="clear" w:color="auto" w:fill="FFFFFF"/>
        </w:rPr>
        <w:t>If applicable, provide a narrative in the box below describing how the Offeror’s proposal demonstrates the above 4 items (narrative may include references to proposal attachments if necessary).</w:t>
      </w:r>
    </w:p>
    <w:p w:rsidR="00305E34" w:rsidP="0010109A" w:rsidRDefault="00305E34" w14:paraId="65A14525" w14:textId="76E679CD">
      <w:pPr>
        <w:ind w:left="720"/>
        <w:rPr>
          <w:rFonts w:ascii="Times New Roman" w:hAnsi="Times New Roman" w:cs="Times New Roman"/>
          <w:color w:val="000000"/>
          <w:sz w:val="24"/>
          <w:szCs w:val="24"/>
          <w:shd w:val="clear" w:color="auto" w:fill="FFFFFF"/>
        </w:rPr>
      </w:pPr>
    </w:p>
    <w:tbl>
      <w:tblPr>
        <w:tblStyle w:val="TableGrid"/>
        <w:tblW w:w="0" w:type="auto"/>
        <w:tblInd w:w="720" w:type="dxa"/>
        <w:tblLook w:val="04A0" w:firstRow="1" w:lastRow="0" w:firstColumn="1" w:lastColumn="0" w:noHBand="0" w:noVBand="1"/>
      </w:tblPr>
      <w:tblGrid>
        <w:gridCol w:w="8630"/>
      </w:tblGrid>
      <w:tr w:rsidR="00305E34" w:rsidTr="00305E34" w14:paraId="5491873B" w14:textId="77777777">
        <w:trPr>
          <w:trHeight w:val="2105"/>
        </w:trPr>
        <w:tc>
          <w:tcPr>
            <w:tcW w:w="9350" w:type="dxa"/>
          </w:tcPr>
          <w:p w:rsidR="00305E34" w:rsidP="0010109A" w:rsidRDefault="00305E34" w14:paraId="148F3283" w14:textId="77777777">
            <w:pPr>
              <w:rPr>
                <w:rFonts w:ascii="Times New Roman" w:hAnsi="Times New Roman" w:cs="Times New Roman"/>
                <w:color w:val="000000"/>
                <w:sz w:val="24"/>
                <w:szCs w:val="24"/>
                <w:shd w:val="clear" w:color="auto" w:fill="FFFFFF"/>
              </w:rPr>
            </w:pPr>
          </w:p>
        </w:tc>
      </w:tr>
    </w:tbl>
    <w:p w:rsidR="00305E34" w:rsidP="0010109A" w:rsidRDefault="00305E34" w14:paraId="02DB93C1" w14:textId="77777777">
      <w:pPr>
        <w:ind w:left="720"/>
        <w:rPr>
          <w:rFonts w:ascii="Times New Roman" w:hAnsi="Times New Roman" w:cs="Times New Roman"/>
          <w:color w:val="000000"/>
          <w:sz w:val="24"/>
          <w:szCs w:val="24"/>
          <w:shd w:val="clear" w:color="auto" w:fill="FFFFFF"/>
        </w:rPr>
      </w:pPr>
    </w:p>
    <w:p w:rsidR="0010109A" w:rsidP="0010109A" w:rsidRDefault="0010109A" w14:paraId="34F65190" w14:textId="77777777">
      <w:pPr>
        <w:rPr>
          <w:rFonts w:ascii="Times New Roman" w:hAnsi="Times New Roman" w:cs="Times New Roman"/>
          <w:sz w:val="24"/>
          <w:szCs w:val="24"/>
          <w:u w:val="single"/>
          <w:shd w:val="clear" w:color="auto" w:fill="FFFFFF"/>
        </w:rPr>
      </w:pPr>
      <w:r>
        <w:rPr>
          <w:rFonts w:ascii="Times New Roman" w:hAnsi="Times New Roman" w:cs="Times New Roman"/>
          <w:color w:val="000000"/>
          <w:sz w:val="24"/>
          <w:szCs w:val="24"/>
          <w:u w:val="single"/>
          <w:shd w:val="clear" w:color="auto" w:fill="FFFFFF"/>
        </w:rPr>
        <w:t>Definitions:</w:t>
      </w:r>
    </w:p>
    <w:p w:rsidR="0010109A" w:rsidP="0010109A" w:rsidRDefault="0010109A" w14:paraId="68A3BE87" w14:textId="77777777">
      <w:pPr>
        <w:rPr>
          <w:rFonts w:ascii="Times New Roman" w:hAnsi="Times New Roman" w:cs="Times New Roman"/>
          <w:b/>
          <w:bCs/>
          <w:sz w:val="24"/>
          <w:szCs w:val="24"/>
        </w:rPr>
      </w:pPr>
    </w:p>
    <w:p w:rsidR="0010109A" w:rsidP="56DA0EB7" w:rsidRDefault="0010109A" w14:paraId="6CD12A3D" w14:textId="64F72094" w14:noSpellErr="1">
      <w:pPr>
        <w:pStyle w:val="ListParagraph"/>
        <w:numPr>
          <w:ilvl w:val="0"/>
          <w:numId w:val="2"/>
        </w:numPr>
        <w:jc w:val="both"/>
        <w:rPr>
          <w:rFonts w:ascii="Times New Roman" w:hAnsi="Times New Roman" w:eastAsia="Times New Roman" w:cs="Times New Roman"/>
          <w:sz w:val="24"/>
          <w:szCs w:val="24"/>
        </w:rPr>
      </w:pPr>
      <w:r w:rsidRPr="56DA0EB7" w:rsidR="0010109A">
        <w:rPr>
          <w:rFonts w:ascii="Times New Roman" w:hAnsi="Times New Roman" w:eastAsia="Times New Roman" w:cs="Times New Roman"/>
          <w:b w:val="1"/>
          <w:bCs w:val="1"/>
          <w:sz w:val="24"/>
          <w:szCs w:val="24"/>
        </w:rPr>
        <w:t>Subcontractor</w:t>
      </w:r>
      <w:r w:rsidRPr="56DA0EB7" w:rsidR="0010109A">
        <w:rPr>
          <w:rFonts w:ascii="Times New Roman" w:hAnsi="Times New Roman" w:eastAsia="Times New Roman" w:cs="Times New Roman"/>
          <w:sz w:val="24"/>
          <w:szCs w:val="24"/>
        </w:rPr>
        <w:t xml:space="preserve"> means any vendor, or firm that </w:t>
      </w:r>
      <w:r w:rsidRPr="56DA0EB7" w:rsidR="0010109A">
        <w:rPr>
          <w:rFonts w:ascii="Times New Roman" w:hAnsi="Times New Roman" w:eastAsia="Times New Roman" w:cs="Times New Roman"/>
          <w:sz w:val="24"/>
          <w:szCs w:val="24"/>
        </w:rPr>
        <w:t xml:space="preserve">has </w:t>
      </w:r>
      <w:proofErr w:type="gramStart"/>
      <w:r w:rsidRPr="56DA0EB7" w:rsidR="0010109A">
        <w:rPr>
          <w:rFonts w:ascii="Times New Roman" w:hAnsi="Times New Roman" w:eastAsia="Times New Roman" w:cs="Times New Roman"/>
          <w:sz w:val="24"/>
          <w:szCs w:val="24"/>
        </w:rPr>
        <w:t>entered into</w:t>
      </w:r>
      <w:proofErr w:type="gramEnd"/>
      <w:r w:rsidRPr="56DA0EB7" w:rsidR="0010109A">
        <w:rPr>
          <w:rFonts w:ascii="Times New Roman" w:hAnsi="Times New Roman" w:eastAsia="Times New Roman" w:cs="Times New Roman"/>
          <w:sz w:val="24"/>
          <w:szCs w:val="24"/>
        </w:rPr>
        <w:t xml:space="preserve"> a binding subcontract in order to </w:t>
      </w:r>
      <w:r w:rsidRPr="56DA0EB7" w:rsidR="0010109A">
        <w:rPr>
          <w:rFonts w:ascii="Times New Roman" w:hAnsi="Times New Roman" w:eastAsia="Times New Roman" w:cs="Times New Roman"/>
          <w:sz w:val="24"/>
          <w:szCs w:val="24"/>
        </w:rPr>
        <w:t>furnish supplies or services to or for a prime contractor or another subcontractor</w:t>
      </w:r>
      <w:r w:rsidRPr="56DA0EB7" w:rsidR="0010109A">
        <w:rPr>
          <w:rFonts w:ascii="Times New Roman" w:hAnsi="Times New Roman" w:eastAsia="Times New Roman" w:cs="Times New Roman"/>
          <w:sz w:val="24"/>
          <w:szCs w:val="24"/>
        </w:rPr>
        <w:t xml:space="preserve"> in support of a specific Government Contract</w:t>
      </w:r>
      <w:r w:rsidRPr="56DA0EB7" w:rsidR="0010109A">
        <w:rPr>
          <w:rFonts w:ascii="Times New Roman" w:hAnsi="Times New Roman" w:eastAsia="Times New Roman" w:cs="Times New Roman"/>
          <w:sz w:val="24"/>
          <w:szCs w:val="24"/>
        </w:rPr>
        <w:t>.</w:t>
      </w:r>
    </w:p>
    <w:p w:rsidR="0010109A" w:rsidP="56DA0EB7" w:rsidRDefault="0010109A" w14:paraId="2F4E6743" w14:textId="77777777" w14:noSpellErr="1">
      <w:pPr>
        <w:jc w:val="both"/>
        <w:rPr>
          <w:rFonts w:ascii="Times New Roman" w:hAnsi="Times New Roman" w:cs="Times New Roman"/>
          <w:sz w:val="24"/>
          <w:szCs w:val="24"/>
        </w:rPr>
      </w:pPr>
    </w:p>
    <w:p w:rsidR="0010109A" w:rsidP="56DA0EB7" w:rsidRDefault="0010109A" w14:paraId="6DDC4DFA" w14:textId="77777777" w14:noSpellErr="1">
      <w:pPr>
        <w:pStyle w:val="ListParagraph"/>
        <w:numPr>
          <w:ilvl w:val="0"/>
          <w:numId w:val="2"/>
        </w:numPr>
        <w:jc w:val="both"/>
        <w:rPr>
          <w:rFonts w:ascii="Times New Roman" w:hAnsi="Times New Roman" w:eastAsia="Times New Roman" w:cs="Times New Roman"/>
          <w:sz w:val="24"/>
          <w:szCs w:val="24"/>
        </w:rPr>
      </w:pPr>
      <w:r w:rsidRPr="56DA0EB7" w:rsidR="0010109A">
        <w:rPr>
          <w:rFonts w:ascii="Times New Roman" w:hAnsi="Times New Roman" w:eastAsia="Times New Roman" w:cs="Times New Roman"/>
          <w:b w:val="1"/>
          <w:bCs w:val="1"/>
          <w:color w:val="000000" w:themeColor="text1" w:themeTint="FF" w:themeShade="FF"/>
          <w:sz w:val="24"/>
          <w:szCs w:val="24"/>
        </w:rPr>
        <w:t>Affiliates</w:t>
      </w:r>
      <w:r w:rsidRPr="56DA0EB7" w:rsidR="0010109A">
        <w:rPr>
          <w:rFonts w:ascii="Times New Roman" w:hAnsi="Times New Roman" w:eastAsia="Times New Roman" w:cs="Times New Roman"/>
          <w:color w:val="000000" w:themeColor="text1" w:themeTint="FF" w:themeShade="FF"/>
          <w:sz w:val="24"/>
          <w:szCs w:val="24"/>
        </w:rPr>
        <w:t xml:space="preserve"> are business concerns of each other if, directly or indirectly, either one controls or has the power to control the other, or another concern controls or has the power to control both.</w:t>
      </w:r>
    </w:p>
    <w:p w:rsidR="0010109A" w:rsidP="56DA0EB7" w:rsidRDefault="0010109A" w14:paraId="37A86B74" w14:textId="77777777" w14:noSpellErr="1">
      <w:pPr>
        <w:pStyle w:val="ListParagraph"/>
        <w:jc w:val="both"/>
        <w:rPr>
          <w:rFonts w:ascii="Times New Roman" w:hAnsi="Times New Roman" w:cs="Times New Roman"/>
          <w:color w:val="000000"/>
          <w:sz w:val="24"/>
          <w:szCs w:val="24"/>
        </w:rPr>
      </w:pPr>
    </w:p>
    <w:p w:rsidR="0010109A" w:rsidP="56DA0EB7" w:rsidRDefault="0010109A" w14:paraId="532F0FE4" w14:textId="77777777" w14:noSpellErr="1">
      <w:pPr>
        <w:pStyle w:val="ListParagraph"/>
        <w:numPr>
          <w:ilvl w:val="0"/>
          <w:numId w:val="2"/>
        </w:numPr>
        <w:jc w:val="both"/>
        <w:rPr>
          <w:rFonts w:ascii="Times New Roman" w:hAnsi="Times New Roman" w:eastAsia="Times New Roman" w:cs="Times New Roman"/>
          <w:sz w:val="24"/>
          <w:szCs w:val="24"/>
        </w:rPr>
      </w:pPr>
      <w:r w:rsidRPr="56DA0EB7" w:rsidR="0010109A">
        <w:rPr>
          <w:rFonts w:ascii="Times New Roman" w:hAnsi="Times New Roman" w:eastAsia="Times New Roman" w:cs="Times New Roman"/>
          <w:b w:val="1"/>
          <w:bCs w:val="1"/>
          <w:color w:val="000000" w:themeColor="text1" w:themeTint="FF" w:themeShade="FF"/>
          <w:sz w:val="24"/>
          <w:szCs w:val="24"/>
        </w:rPr>
        <w:t xml:space="preserve">Division </w:t>
      </w:r>
      <w:r w:rsidRPr="56DA0EB7" w:rsidR="0010109A">
        <w:rPr>
          <w:rFonts w:ascii="Times New Roman" w:hAnsi="Times New Roman" w:eastAsia="Times New Roman" w:cs="Times New Roman"/>
          <w:color w:val="000000" w:themeColor="text1" w:themeTint="FF" w:themeShade="FF"/>
          <w:sz w:val="24"/>
          <w:szCs w:val="24"/>
        </w:rPr>
        <w:t>is a separate business unit of a company representing a specific business function.</w:t>
      </w:r>
    </w:p>
    <w:p w:rsidR="0010109A" w:rsidP="56DA0EB7" w:rsidRDefault="0010109A" w14:paraId="4F8173FF" w14:textId="77777777" w14:noSpellErr="1">
      <w:pPr>
        <w:pStyle w:val="ListParagraph"/>
        <w:jc w:val="both"/>
        <w:rPr>
          <w:rFonts w:ascii="Times New Roman" w:hAnsi="Times New Roman" w:cs="Times New Roman"/>
          <w:color w:val="000000"/>
          <w:sz w:val="24"/>
          <w:szCs w:val="24"/>
        </w:rPr>
      </w:pPr>
    </w:p>
    <w:p w:rsidRPr="0010109A" w:rsidR="0010109A" w:rsidP="56DA0EB7" w:rsidRDefault="0010109A" w14:paraId="344BD322" w14:textId="2B535DDE" w14:noSpellErr="1">
      <w:pPr>
        <w:pStyle w:val="ListParagraph"/>
        <w:numPr>
          <w:ilvl w:val="0"/>
          <w:numId w:val="2"/>
        </w:numPr>
        <w:spacing w:after="240"/>
        <w:jc w:val="both"/>
        <w:rPr>
          <w:rFonts w:eastAsia="Times New Roman"/>
          <w:sz w:val="24"/>
          <w:szCs w:val="24"/>
        </w:rPr>
      </w:pPr>
      <w:r w:rsidRPr="56DA0EB7" w:rsidR="0010109A">
        <w:rPr>
          <w:rFonts w:ascii="Times New Roman" w:hAnsi="Times New Roman" w:eastAsia="Times New Roman" w:cs="Times New Roman"/>
          <w:b w:val="1"/>
          <w:bCs w:val="1"/>
          <w:color w:val="000000" w:themeColor="text1" w:themeTint="FF" w:themeShade="FF"/>
          <w:sz w:val="24"/>
          <w:szCs w:val="24"/>
        </w:rPr>
        <w:t>Subsidiary</w:t>
      </w:r>
      <w:r w:rsidRPr="56DA0EB7" w:rsidR="0010109A">
        <w:rPr>
          <w:rFonts w:ascii="Times New Roman" w:hAnsi="Times New Roman" w:eastAsia="Times New Roman" w:cs="Times New Roman"/>
          <w:color w:val="000000" w:themeColor="text1" w:themeTint="FF" w:themeShade="FF"/>
          <w:sz w:val="24"/>
          <w:szCs w:val="24"/>
        </w:rPr>
        <w:t xml:space="preserve"> means an entity in which more than 50 percent of the entity is owned directly by a parent corporation or through another subsidiary of a parent corporation.</w:t>
      </w:r>
    </w:p>
    <w:p w:rsidRPr="00305E34" w:rsidR="0010109A" w:rsidP="56DA0EB7" w:rsidRDefault="0010109A" w14:paraId="3844CB2A" w14:textId="44EBF098" w14:noSpellErr="1">
      <w:pPr>
        <w:pStyle w:val="ListParagraph"/>
        <w:numPr>
          <w:ilvl w:val="0"/>
          <w:numId w:val="2"/>
        </w:numPr>
        <w:spacing w:after="240"/>
        <w:jc w:val="both"/>
        <w:rPr>
          <w:rFonts w:ascii="Times New Roman" w:hAnsi="Times New Roman" w:eastAsia="Times New Roman" w:cs="Times New Roman"/>
          <w:sz w:val="24"/>
          <w:szCs w:val="24"/>
        </w:rPr>
      </w:pPr>
      <w:r w:rsidRPr="56DA0EB7" w:rsidR="0010109A">
        <w:rPr>
          <w:rFonts w:ascii="Times New Roman" w:hAnsi="Times New Roman" w:eastAsia="Times New Roman" w:cs="Times New Roman"/>
          <w:b w:val="1"/>
          <w:bCs w:val="1"/>
          <w:sz w:val="24"/>
          <w:szCs w:val="24"/>
        </w:rPr>
        <w:t xml:space="preserve">Supplier </w:t>
      </w:r>
      <w:r w:rsidRPr="56DA0EB7" w:rsidR="0010109A">
        <w:rPr>
          <w:rFonts w:ascii="Times New Roman" w:hAnsi="Times New Roman" w:eastAsia="Times New Roman" w:cs="Times New Roman"/>
          <w:sz w:val="24"/>
          <w:szCs w:val="24"/>
        </w:rPr>
        <w:t xml:space="preserve">is any vendor or firm that furnishes supplies, software-as-a-service, services, or other materials or commodities </w:t>
      </w:r>
      <w:r w:rsidRPr="56DA0EB7" w:rsidR="00305E34">
        <w:rPr>
          <w:rFonts w:ascii="Times New Roman" w:hAnsi="Times New Roman" w:eastAsia="Times New Roman" w:cs="Times New Roman"/>
          <w:sz w:val="24"/>
          <w:szCs w:val="24"/>
        </w:rPr>
        <w:t xml:space="preserve">to a Prime or Sub Contractor without specific attribution to a </w:t>
      </w:r>
      <w:proofErr w:type="gramStart"/>
      <w:r w:rsidRPr="56DA0EB7" w:rsidR="00305E34">
        <w:rPr>
          <w:rFonts w:ascii="Times New Roman" w:hAnsi="Times New Roman" w:eastAsia="Times New Roman" w:cs="Times New Roman"/>
          <w:sz w:val="24"/>
          <w:szCs w:val="24"/>
        </w:rPr>
        <w:t>Government</w:t>
      </w:r>
      <w:proofErr w:type="gramEnd"/>
      <w:r w:rsidRPr="56DA0EB7" w:rsidR="00305E34">
        <w:rPr>
          <w:rFonts w:ascii="Times New Roman" w:hAnsi="Times New Roman" w:eastAsia="Times New Roman" w:cs="Times New Roman"/>
          <w:sz w:val="24"/>
          <w:szCs w:val="24"/>
        </w:rPr>
        <w:t xml:space="preserve"> contract.  A Supplier is </w:t>
      </w:r>
      <w:r w:rsidRPr="56DA0EB7" w:rsidR="0010109A">
        <w:rPr>
          <w:rFonts w:ascii="Times New Roman" w:hAnsi="Times New Roman" w:eastAsia="Times New Roman" w:cs="Times New Roman"/>
          <w:sz w:val="24"/>
          <w:szCs w:val="24"/>
        </w:rPr>
        <w:t xml:space="preserve">not necessarily equivalent to a subcontractor. </w:t>
      </w:r>
    </w:p>
    <w:p w:rsidR="0010109A" w:rsidRDefault="0010109A" w14:paraId="5871BC56" w14:textId="77777777"/>
    <w:sectPr w:rsidR="0010109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D14A7"/>
    <w:multiLevelType w:val="hybridMultilevel"/>
    <w:tmpl w:val="03DEB962"/>
    <w:lvl w:ilvl="0" w:tplc="A84609E6">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46D5B27"/>
    <w:multiLevelType w:val="hybridMultilevel"/>
    <w:tmpl w:val="AC70F780"/>
    <w:lvl w:ilvl="0" w:tplc="BD2CCD1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4844021"/>
    <w:multiLevelType w:val="hybridMultilevel"/>
    <w:tmpl w:val="E0968A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44A4009"/>
    <w:multiLevelType w:val="hybridMultilevel"/>
    <w:tmpl w:val="2730AD84"/>
    <w:lvl w:ilvl="0" w:tplc="3490F4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0920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25557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3665476">
    <w:abstractNumId w:val="0"/>
  </w:num>
  <w:num w:numId="4" w16cid:durableId="1602880092">
    <w:abstractNumId w:val="2"/>
  </w:num>
  <w:num w:numId="5" w16cid:durableId="555242792">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9A"/>
    <w:rsid w:val="0010109A"/>
    <w:rsid w:val="00305E34"/>
    <w:rsid w:val="00F46921"/>
    <w:rsid w:val="178A3BFF"/>
    <w:rsid w:val="56DA0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B17E"/>
  <w15:chartTrackingRefBased/>
  <w15:docId w15:val="{DBC17467-7F9B-4A79-A0D7-D276E023E2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0109A"/>
    <w:pPr>
      <w:spacing w:after="0" w:line="240" w:lineRule="auto"/>
    </w:pPr>
    <w:rPr>
      <w:rFonts w:ascii="Calibri" w:hAnsi="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0109A"/>
    <w:pPr>
      <w:ind w:left="720"/>
    </w:pPr>
  </w:style>
  <w:style w:type="table" w:styleId="TableGrid">
    <w:name w:val="Table Grid"/>
    <w:basedOn w:val="TableNormal"/>
    <w:uiPriority w:val="39"/>
    <w:rsid w:val="00305E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14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1EB805130364288B21E8BABDAE401" ma:contentTypeVersion="4" ma:contentTypeDescription="Create a new document." ma:contentTypeScope="" ma:versionID="ba4a9c65b90ed1ef09f998e28e787328">
  <xsd:schema xmlns:xsd="http://www.w3.org/2001/XMLSchema" xmlns:xs="http://www.w3.org/2001/XMLSchema" xmlns:p="http://schemas.microsoft.com/office/2006/metadata/properties" xmlns:ns2="563bf3df-f7a8-4641-a533-78057ba76230" xmlns:ns3="13cf40fc-a163-47e1-88a6-0be7c70264c5" targetNamespace="http://schemas.microsoft.com/office/2006/metadata/properties" ma:root="true" ma:fieldsID="8fcd547a600902cedc21916eb0c7d600" ns2:_="" ns3:_="">
    <xsd:import namespace="563bf3df-f7a8-4641-a533-78057ba76230"/>
    <xsd:import namespace="13cf40fc-a163-47e1-88a6-0be7c70264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bf3df-f7a8-4641-a533-78057ba76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f40fc-a163-47e1-88a6-0be7c70264c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4F7016-F25E-4395-859F-2768064F8123}"/>
</file>

<file path=customXml/itemProps2.xml><?xml version="1.0" encoding="utf-8"?>
<ds:datastoreItem xmlns:ds="http://schemas.openxmlformats.org/officeDocument/2006/customXml" ds:itemID="{21CA27AF-0D1F-4032-9B1C-D5A9B40CBC8A}"/>
</file>

<file path=customXml/itemProps3.xml><?xml version="1.0" encoding="utf-8"?>
<ds:datastoreItem xmlns:ds="http://schemas.openxmlformats.org/officeDocument/2006/customXml" ds:itemID="{22AC8BFA-8674-456F-8D63-3DAE5B0F9E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Department of State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Vultaggio, Katherine L</dc:creator>
  <cp:keywords/>
  <dc:description/>
  <cp:lastModifiedBy>Baltimore, Kimberly D</cp:lastModifiedBy>
  <cp:revision>2</cp:revision>
  <dcterms:created xsi:type="dcterms:W3CDTF">2022-09-20T00:17:00Z</dcterms:created>
  <dcterms:modified xsi:type="dcterms:W3CDTF">2022-09-20T01:22:12Z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2022-09-20T00:28:57Z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ad8f78b9-38d8-4982-bf6c-84a8acc569df</vt:lpwstr>
  </property>
  <property fmtid="{D5CDD505-2E9C-101B-9397-08002B2CF9AE}" pid="8" name="MSIP_Label_1665d9ee-429a-4d5f-97cc-cfb56e044a6e_ContentBits">
    <vt:lpwstr>0</vt:lpwstr>
  </property>
  <property fmtid="{D5CDD505-2E9C-101B-9397-08002B2CF9AE}" pid="9" name="ContentTypeId">
    <vt:lpwstr>0x0101008741EB805130364288B21E8BABDAE401</vt:lpwstr>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